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205"/>
          <w:tab w:val="left" w:pos="7245"/>
        </w:tabs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right="0" w:firstLine="1320" w:firstLineChars="3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汝州市审计局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 xml:space="preserve">审计结果公告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pacing w:val="200"/>
          <w:sz w:val="44"/>
          <w:szCs w:val="44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汝州市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庙下镇人民政府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年度财政决算和其他财政收支情况审计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结果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公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right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汝州市审计局</w:t>
      </w:r>
      <w:r>
        <w:rPr>
          <w:rFonts w:hint="eastAsia" w:ascii="仿宋" w:hAnsi="仿宋" w:eastAsia="仿宋" w:cs="仿宋"/>
          <w:sz w:val="32"/>
          <w:szCs w:val="32"/>
        </w:rPr>
        <w:t>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2022年5月31日至2022年7月6日，对汝州市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庙下镇人民政府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（以下简称庙下镇人民政府）2021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  <w:lang w:eastAsia="zh-CN"/>
        </w:rPr>
        <w:t>财政决算和其他财政收支</w:t>
      </w:r>
      <w:r>
        <w:rPr>
          <w:rFonts w:hint="eastAsia" w:ascii="仿宋" w:hAnsi="仿宋" w:eastAsia="仿宋"/>
          <w:sz w:val="32"/>
          <w:szCs w:val="32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进行了审计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现将审计结果公告如下：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一、被审计单位基本情况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单位性质、组织结构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庙下镇人民政府位于汝州市庙下镇庙下村，辖区有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24个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行政村，总人口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81000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人，在职人员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62人。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下设党政办公室、计划生育技术服务中心、民政所、村镇建设中心等机构。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（二）财政决算情况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年度决算收入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9009880.82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元，决算支出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9009880.82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二、审计评价意见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审计结果表明，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庙下镇人民政府</w:t>
      </w:r>
      <w:r>
        <w:rPr>
          <w:rFonts w:hint="eastAsia" w:ascii="仿宋_GB2312" w:hAnsi="仿宋_GB2312" w:eastAsia="仿宋_GB2312"/>
          <w:sz w:val="32"/>
          <w:szCs w:val="32"/>
        </w:rPr>
        <w:t>提供的会计资料基本真实地反映了该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乡镇</w:t>
      </w:r>
      <w:r>
        <w:rPr>
          <w:rFonts w:hint="eastAsia" w:ascii="仿宋_GB2312" w:hAnsi="仿宋_GB2312" w:eastAsia="仿宋_GB2312"/>
          <w:sz w:val="32"/>
          <w:szCs w:val="32"/>
        </w:rPr>
        <w:t>财政决算和其他财政收支情况，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经济活</w:t>
      </w:r>
      <w:r>
        <w:rPr>
          <w:rFonts w:hint="eastAsia" w:ascii="仿宋_GB2312" w:hAnsi="仿宋_GB2312" w:eastAsia="仿宋_GB2312"/>
          <w:sz w:val="32"/>
          <w:szCs w:val="32"/>
        </w:rPr>
        <w:t>动基本合规，各项资金基本安全、完整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财政收支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/>
          <w:sz w:val="32"/>
          <w:szCs w:val="32"/>
        </w:rPr>
        <w:t>基本符合国家有关财经法规的规定。但审计中也发现存在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取得的原始凭证不符合规定、违规列支社会抚养费返还款等</w:t>
      </w:r>
      <w:r>
        <w:rPr>
          <w:rFonts w:hint="eastAsia" w:ascii="仿宋_GB2312" w:hAnsi="仿宋_GB2312" w:eastAsia="仿宋_GB2312"/>
          <w:sz w:val="32"/>
          <w:szCs w:val="32"/>
        </w:rPr>
        <w:t>问题，今后应加以纠正和改进。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汝州市庙下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人民政府对上次审计决定已执行，对审计建议能够积极采纳。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审计发现的主要问题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审计发现庙下镇人民政府存在取得的原始凭证不符合规定、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违规列支社会抚养费返还款、违规列支补助经费、</w:t>
      </w:r>
      <w:r>
        <w:rPr>
          <w:rFonts w:hint="default" w:ascii="仿宋_GB2312" w:hAnsi="仿宋_GB2312" w:eastAsia="仿宋_GB2312"/>
          <w:sz w:val="32"/>
          <w:szCs w:val="32"/>
          <w:lang w:val="en-US" w:eastAsia="zh-CN"/>
        </w:rPr>
        <w:t>应计未计固定资产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四、审计处理情况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和建议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针对审计发现问题，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汝州市审计局</w:t>
      </w:r>
      <w:r>
        <w:rPr>
          <w:rFonts w:hint="eastAsia" w:ascii="仿宋" w:hAnsi="仿宋" w:eastAsia="仿宋" w:cs="仿宋"/>
          <w:sz w:val="32"/>
          <w:szCs w:val="32"/>
        </w:rPr>
        <w:t>已经依法出具审计报告，下达了审计决定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，并提出了处理意见和整改建议，建议庙下镇人民政府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格遵守国家有关法律、法规，认真执行财务会计制度，建立健全监督、检查制度，报支单据要合规、手续要完备，对记载不准确的、不完整的原始凭证坚决不予报批入账，全面提高会计核算质量，规范财政财务管理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严格执行国家有关收费和罚没项目的规定，收费罚没收入必须全部上缴市财政，绝不允许将收费、罚没收入与本部门的经费划拨和职工的奖金、福利挂钩，严禁搞任何形式的提留、分成和收支挂钩。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按国家规定的开支范围据实列支，加强学习相关法律法规，增强法律意识，本着合理、节约的原则按计划控制用款，保证支出的合规性，规范财务支出行为。</w:t>
      </w:r>
      <w:r>
        <w:rPr>
          <w:rFonts w:hint="default" w:ascii="Times New Roman" w:hAnsi="Times New Roman" w:eastAsia="仿宋" w:cs="Times New Roman"/>
          <w:sz w:val="32"/>
          <w:szCs w:val="32"/>
        </w:rPr>
        <w:t>加强对国有资产的管理，对符合固定资产管理规定的登记入账，并建立固定资产台账，防止国有资产流失。财务部门必须加强对国有资产的监管，从严审核把关。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五、审计发现问题的整改情况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汝州市庙下镇人民政府</w:t>
      </w:r>
      <w:r>
        <w:rPr>
          <w:rFonts w:hint="default" w:ascii="仿宋" w:hAnsi="仿宋" w:eastAsia="仿宋" w:cs="仿宋"/>
          <w:sz w:val="32"/>
          <w:szCs w:val="32"/>
          <w:lang w:val="zh-CN" w:eastAsia="zh-CN"/>
        </w:rPr>
        <w:t>高度重视审计发现的问题，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不断加强在财务审核中存在的不足和漏洞，对不合法、不准确的原始凭证一律不予入账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违规列支社会抚养费返还款问题已经按照规定进行调整，今后严格按照国家有关规定进行开支；违规列支补助经费已经按照规定调整，今后严格按照财务规章制度规定的开支范围及开支标准进行开支；应计未计固定资产已经按照规定补记了相关账目。</w:t>
      </w:r>
      <w:r>
        <w:rPr>
          <w:rFonts w:hint="default" w:ascii="仿宋" w:hAnsi="仿宋" w:eastAsia="仿宋" w:cs="仿宋"/>
          <w:sz w:val="32"/>
          <w:szCs w:val="32"/>
          <w:lang w:val="zh-CN" w:eastAsia="zh-CN"/>
        </w:rPr>
        <w:t>截至目前，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针对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审计发现的问题，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庙下镇人民政府正在整改落实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left="5746" w:leftChars="2584" w:right="0" w:hanging="320" w:hanging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left="5746" w:leftChars="2584" w:right="0" w:hanging="320" w:hangingChars="1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="0" w:after="0" w:line="560" w:lineRule="exact"/>
        <w:ind w:right="0" w:firstLine="5440" w:firstLineChars="17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MxMDUxOTMxNTlmNzEwOTRiYTFjNzY3Y2JiZGE5NjEifQ=="/>
  </w:docVars>
  <w:rsids>
    <w:rsidRoot w:val="00000000"/>
    <w:rsid w:val="023D480B"/>
    <w:rsid w:val="0A027E6A"/>
    <w:rsid w:val="0A410461"/>
    <w:rsid w:val="0B9741EB"/>
    <w:rsid w:val="0C886F23"/>
    <w:rsid w:val="0E4B1E07"/>
    <w:rsid w:val="0F0C7E4C"/>
    <w:rsid w:val="1007489A"/>
    <w:rsid w:val="12440796"/>
    <w:rsid w:val="13961EE4"/>
    <w:rsid w:val="15845BB4"/>
    <w:rsid w:val="187A69EE"/>
    <w:rsid w:val="194E369C"/>
    <w:rsid w:val="19E41DEE"/>
    <w:rsid w:val="1ABE34C6"/>
    <w:rsid w:val="1C001386"/>
    <w:rsid w:val="1DD43240"/>
    <w:rsid w:val="1DEF1CC3"/>
    <w:rsid w:val="1F836080"/>
    <w:rsid w:val="20A6770A"/>
    <w:rsid w:val="2406116D"/>
    <w:rsid w:val="24D4335C"/>
    <w:rsid w:val="259B2F25"/>
    <w:rsid w:val="271552D5"/>
    <w:rsid w:val="2963021C"/>
    <w:rsid w:val="2A964422"/>
    <w:rsid w:val="2C2E6381"/>
    <w:rsid w:val="2D2B2881"/>
    <w:rsid w:val="2DCD2DF8"/>
    <w:rsid w:val="2E1C5342"/>
    <w:rsid w:val="310C4EF5"/>
    <w:rsid w:val="3B2354D3"/>
    <w:rsid w:val="3FAA6F3F"/>
    <w:rsid w:val="42D102F7"/>
    <w:rsid w:val="45326533"/>
    <w:rsid w:val="4ADA3B16"/>
    <w:rsid w:val="4CA23ADA"/>
    <w:rsid w:val="4D197E75"/>
    <w:rsid w:val="511E3274"/>
    <w:rsid w:val="5282523F"/>
    <w:rsid w:val="554F4832"/>
    <w:rsid w:val="557E21F9"/>
    <w:rsid w:val="575B2944"/>
    <w:rsid w:val="5E5837A8"/>
    <w:rsid w:val="5E5E6992"/>
    <w:rsid w:val="64871243"/>
    <w:rsid w:val="66A67422"/>
    <w:rsid w:val="6C0D0B16"/>
    <w:rsid w:val="6F28213E"/>
    <w:rsid w:val="70331975"/>
    <w:rsid w:val="719657C6"/>
    <w:rsid w:val="71B26BDA"/>
    <w:rsid w:val="75D912E9"/>
    <w:rsid w:val="7A3516CA"/>
    <w:rsid w:val="7B84546E"/>
    <w:rsid w:val="7CA05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link w:val="8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link w:val="7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</w:style>
  <w:style w:type="character" w:styleId="9">
    <w:name w:val="Strong"/>
    <w:basedOn w:val="7"/>
    <w:qFormat/>
    <w:uiPriority w:val="0"/>
    <w:rPr>
      <w:b/>
      <w:bCs/>
    </w:rPr>
  </w:style>
  <w:style w:type="character" w:customStyle="1" w:styleId="10">
    <w:name w:val="标题 1 Char"/>
    <w:basedOn w:val="7"/>
    <w:link w:val="2"/>
    <w:semiHidden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脚 Char"/>
    <w:basedOn w:val="7"/>
    <w:link w:val="4"/>
    <w:semiHidden/>
    <w:qFormat/>
    <w:uiPriority w:val="0"/>
    <w:rPr>
      <w:sz w:val="18"/>
      <w:szCs w:val="18"/>
    </w:rPr>
  </w:style>
  <w:style w:type="character" w:customStyle="1" w:styleId="12">
    <w:name w:val="页眉 Char"/>
    <w:basedOn w:val="7"/>
    <w:link w:val="5"/>
    <w:semiHidden/>
    <w:qFormat/>
    <w:uiPriority w:val="0"/>
    <w:rPr>
      <w:sz w:val="18"/>
      <w:szCs w:val="18"/>
    </w:rPr>
  </w:style>
  <w:style w:type="paragraph" w:customStyle="1" w:styleId="13">
    <w:name w:val="_Style 6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4">
    <w:name w:val="正文 New New New New New New New New New New New New New New New New New New New New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lang w:val="en-US" w:eastAsia="zh-CN" w:bidi="ar-SA"/>
    </w:rPr>
  </w:style>
  <w:style w:type="paragraph" w:customStyle="1" w:styleId="15">
    <w:name w:val="List Paragraph"/>
    <w:basedOn w:val="1"/>
    <w:qFormat/>
    <w:uiPriority w:val="0"/>
    <w:pPr>
      <w:spacing w:line="240" w:lineRule="auto"/>
      <w:ind w:left="0" w:firstLine="420" w:firstLineChars="200"/>
      <w:textAlignment w:val="auto"/>
    </w:pPr>
    <w:rPr>
      <w:rFonts w:hint="eastAsia" w:ascii="Calibri" w:hAnsi="Calibri"/>
      <w:kern w:val="2"/>
      <w:sz w:val="21"/>
    </w:rPr>
  </w:style>
  <w:style w:type="paragraph" w:customStyle="1" w:styleId="16">
    <w:name w:val="p0"/>
    <w:basedOn w:val="1"/>
    <w:qFormat/>
    <w:uiPriority w:val="0"/>
    <w:pPr>
      <w:widowControl/>
    </w:pPr>
    <w:rPr>
      <w:rFonts w:hint="eastAsia" w:ascii="Calibri" w:hAnsi="Calibri"/>
    </w:rPr>
  </w:style>
  <w:style w:type="character" w:customStyle="1" w:styleId="17">
    <w:name w:val="page number"/>
    <w:basedOn w:val="7"/>
    <w:qFormat/>
    <w:uiPriority w:val="0"/>
  </w:style>
  <w:style w:type="character" w:customStyle="1" w:styleId="18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1113</Words>
  <Characters>1158</Characters>
  <Lines>70</Lines>
  <Paragraphs>19</Paragraphs>
  <TotalTime>0</TotalTime>
  <ScaleCrop>false</ScaleCrop>
  <LinksUpToDate>false</LinksUpToDate>
  <CharactersWithSpaces>1208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2018-07-20T15:41:00Z</dcterms:created>
  <dc:creator>Administrator</dc:creator>
  <cp:lastModifiedBy>Administrator</cp:lastModifiedBy>
  <cp:lastPrinted>2019-12-03T02:27:00Z</cp:lastPrinted>
  <dcterms:modified xsi:type="dcterms:W3CDTF">2022-12-28T06:43:28Z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288BC713EA33487AB87B9FF9CFBF778D</vt:lpwstr>
  </property>
</Properties>
</file>