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tabs>
          <w:tab w:val="left" w:pos="7360"/>
          <w:tab w:val="left" w:pos="7680"/>
        </w:tabs>
        <w:kinsoku/>
        <w:wordWrap/>
        <w:topLinePunct w:val="0"/>
        <w:autoSpaceDE/>
        <w:autoSpaceDN/>
        <w:bidi w:val="0"/>
        <w:adjustRightInd w:val="0"/>
        <w:spacing w:line="6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汝州</w:t>
      </w:r>
      <w:r>
        <w:rPr>
          <w:rFonts w:hint="eastAsia" w:ascii="方正小标宋简体" w:hAnsi="方正小标宋简体" w:eastAsia="方正小标宋简体" w:cs="方正小标宋简体"/>
          <w:sz w:val="44"/>
          <w:szCs w:val="44"/>
        </w:rPr>
        <w:t>市水利系统河湖安全保护</w:t>
      </w:r>
    </w:p>
    <w:p>
      <w:pPr>
        <w:keepNext w:val="0"/>
        <w:keepLines w:val="0"/>
        <w:pageBreakBefore w:val="0"/>
        <w:shd w:val="clear"/>
        <w:tabs>
          <w:tab w:val="left" w:pos="7360"/>
          <w:tab w:val="left" w:pos="7680"/>
        </w:tabs>
        <w:kinsoku/>
        <w:wordWrap/>
        <w:topLinePunct w:val="0"/>
        <w:autoSpaceDE/>
        <w:autoSpaceDN/>
        <w:bidi w:val="0"/>
        <w:adjustRightIn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专项执法行动工作方案</w:t>
      </w:r>
    </w:p>
    <w:bookmarkEnd w:id="0"/>
    <w:p>
      <w:pPr>
        <w:keepNext w:val="0"/>
        <w:keepLines w:val="0"/>
        <w:pageBreakBefore w:val="0"/>
        <w:shd w:val="clear"/>
        <w:kinsoku/>
        <w:wordWrap/>
        <w:topLinePunct w:val="0"/>
        <w:autoSpaceDE/>
        <w:autoSpaceDN/>
        <w:bidi w:val="0"/>
        <w:spacing w:line="600" w:lineRule="exact"/>
        <w:jc w:val="left"/>
        <w:rPr>
          <w:rFonts w:hint="eastAsia" w:ascii="仿宋" w:hAnsi="仿宋" w:eastAsia="仿宋"/>
          <w:szCs w:val="32"/>
        </w:rPr>
      </w:pPr>
      <w:r>
        <w:rPr>
          <w:rFonts w:hint="eastAsia" w:ascii="仿宋" w:hAnsi="仿宋" w:eastAsia="仿宋"/>
          <w:szCs w:val="32"/>
        </w:rPr>
        <w:t xml:space="preserve">   </w:t>
      </w:r>
    </w:p>
    <w:p>
      <w:pPr>
        <w:pStyle w:val="7"/>
        <w:keepNext w:val="0"/>
        <w:keepLines w:val="0"/>
        <w:pageBreakBefore w:val="0"/>
        <w:shd w:val="clear" w:color="auto"/>
        <w:kinsoku/>
        <w:wordWrap/>
        <w:topLinePunct w:val="0"/>
        <w:autoSpaceDE/>
        <w:autoSpaceDN/>
        <w:bidi w:val="0"/>
        <w:spacing w:before="0" w:beforeLines="0" w:beforeAutospacing="0" w:after="0" w:afterLines="0" w:afterAutospacing="0" w:line="600" w:lineRule="exact"/>
        <w:ind w:firstLine="640" w:firstLineChars="200"/>
        <w:jc w:val="both"/>
        <w:rPr>
          <w:rFonts w:hint="eastAsia" w:ascii="仿宋" w:hAnsi="仿宋" w:eastAsia="仿宋"/>
          <w:szCs w:val="32"/>
        </w:rPr>
      </w:pPr>
      <w:r>
        <w:rPr>
          <w:rFonts w:hint="eastAsia" w:ascii="仿宋" w:hAnsi="仿宋" w:eastAsia="仿宋" w:cs="Times New Roman"/>
          <w:kern w:val="2"/>
          <w:sz w:val="32"/>
          <w:szCs w:val="32"/>
        </w:rPr>
        <w:t>为深入贯彻落实河南省水利厅</w:t>
      </w:r>
      <w:r>
        <w:rPr>
          <w:rFonts w:hint="eastAsia" w:ascii="仿宋" w:hAnsi="仿宋" w:eastAsia="仿宋" w:cs="Times New Roman"/>
          <w:kern w:val="2"/>
          <w:sz w:val="32"/>
          <w:szCs w:val="32"/>
          <w:lang w:val="en-US" w:eastAsia="zh-CN"/>
        </w:rPr>
        <w:t xml:space="preserve"> </w:t>
      </w:r>
      <w:r>
        <w:rPr>
          <w:rFonts w:hint="eastAsia" w:ascii="仿宋" w:hAnsi="仿宋" w:eastAsia="仿宋" w:cs="Times New Roman"/>
          <w:kern w:val="2"/>
          <w:sz w:val="32"/>
          <w:szCs w:val="32"/>
        </w:rPr>
        <w:t>河南省高级人民法院</w:t>
      </w:r>
      <w:r>
        <w:rPr>
          <w:rFonts w:hint="eastAsia" w:ascii="仿宋" w:hAnsi="仿宋" w:eastAsia="仿宋" w:cs="Times New Roman"/>
          <w:kern w:val="2"/>
          <w:sz w:val="32"/>
          <w:szCs w:val="32"/>
          <w:lang w:val="en-US" w:eastAsia="zh-CN"/>
        </w:rPr>
        <w:t xml:space="preserve"> </w:t>
      </w:r>
      <w:r>
        <w:rPr>
          <w:rFonts w:hint="eastAsia" w:ascii="仿宋" w:hAnsi="仿宋" w:eastAsia="仿宋" w:cs="Times New Roman"/>
          <w:kern w:val="2"/>
          <w:sz w:val="32"/>
          <w:szCs w:val="32"/>
        </w:rPr>
        <w:t>河南省人民检察院</w:t>
      </w:r>
      <w:r>
        <w:rPr>
          <w:rFonts w:hint="eastAsia" w:ascii="仿宋" w:hAnsi="仿宋" w:eastAsia="仿宋" w:cs="Times New Roman"/>
          <w:kern w:val="2"/>
          <w:sz w:val="32"/>
          <w:szCs w:val="32"/>
          <w:lang w:val="en-US" w:eastAsia="zh-CN"/>
        </w:rPr>
        <w:t xml:space="preserve"> </w:t>
      </w:r>
      <w:r>
        <w:rPr>
          <w:rFonts w:hint="eastAsia" w:ascii="仿宋" w:hAnsi="仿宋" w:eastAsia="仿宋" w:cs="Times New Roman"/>
          <w:kern w:val="2"/>
          <w:sz w:val="32"/>
          <w:szCs w:val="32"/>
        </w:rPr>
        <w:t>河南省公安厅</w:t>
      </w:r>
      <w:r>
        <w:rPr>
          <w:rFonts w:hint="eastAsia" w:ascii="仿宋" w:hAnsi="仿宋" w:eastAsia="仿宋" w:cs="Times New Roman"/>
          <w:kern w:val="2"/>
          <w:sz w:val="32"/>
          <w:szCs w:val="32"/>
          <w:lang w:val="en-US" w:eastAsia="zh-CN"/>
        </w:rPr>
        <w:t xml:space="preserve"> </w:t>
      </w:r>
      <w:r>
        <w:rPr>
          <w:rFonts w:hint="eastAsia" w:ascii="仿宋" w:hAnsi="仿宋" w:eastAsia="仿宋" w:cs="Times New Roman"/>
          <w:kern w:val="2"/>
          <w:sz w:val="32"/>
          <w:szCs w:val="32"/>
        </w:rPr>
        <w:t>河南省司法厅</w:t>
      </w:r>
      <w:r>
        <w:rPr>
          <w:rFonts w:hint="eastAsia" w:ascii="仿宋" w:hAnsi="仿宋" w:eastAsia="仿宋" w:cs="Times New Roman"/>
          <w:kern w:val="2"/>
          <w:sz w:val="32"/>
          <w:szCs w:val="32"/>
          <w:lang w:eastAsia="zh-CN"/>
        </w:rPr>
        <w:t>《</w:t>
      </w:r>
      <w:r>
        <w:rPr>
          <w:rFonts w:hint="eastAsia" w:ascii="仿宋" w:hAnsi="仿宋" w:eastAsia="仿宋" w:cs="Times New Roman"/>
          <w:kern w:val="2"/>
          <w:sz w:val="32"/>
          <w:szCs w:val="32"/>
        </w:rPr>
        <w:t>关于开展河湖安全保护专项执法行动的通知》（豫水政〔2023〕14号）要求，根据《中华人民共和国水法》《中华人民共和国防洪法》、《中华人民共和国水土保持法》《中华人民共和国黄河保护法》、《中华人民共和国地下水管理条例》《平顶山市河道保护条例》、《平顶山市节约用水条例》等法律法规，依法打击侵占河湖、河湖非法采砂、妨碍行洪安全、非法取水等水事违法行为，提升我市河湖安全保护水平，共同保障水安全。</w:t>
      </w:r>
      <w:r>
        <w:rPr>
          <w:rFonts w:hint="eastAsia" w:ascii="仿宋" w:hAnsi="仿宋" w:eastAsia="仿宋"/>
          <w:sz w:val="32"/>
          <w:szCs w:val="32"/>
        </w:rPr>
        <w:t>决定自2023年6月至11月，在全市范围内组织</w:t>
      </w:r>
      <w:r>
        <w:rPr>
          <w:rFonts w:hint="eastAsia" w:ascii="仿宋" w:hAnsi="仿宋" w:eastAsia="仿宋" w:cs="Times New Roman"/>
          <w:kern w:val="2"/>
          <w:sz w:val="32"/>
          <w:szCs w:val="32"/>
        </w:rPr>
        <w:t>开展河湖安全保护专项执法行动</w:t>
      </w:r>
      <w:r>
        <w:rPr>
          <w:rFonts w:hint="eastAsia" w:ascii="仿宋" w:hAnsi="仿宋" w:eastAsia="仿宋"/>
          <w:sz w:val="32"/>
          <w:szCs w:val="32"/>
        </w:rPr>
        <w:t>（以下简称专项执法行动），现制定我市水利系统工作方案如下：</w:t>
      </w:r>
    </w:p>
    <w:p>
      <w:pPr>
        <w:keepNext w:val="0"/>
        <w:keepLines w:val="0"/>
        <w:pageBreakBefore w:val="0"/>
        <w:shd w:val="clear"/>
        <w:tabs>
          <w:tab w:val="left" w:pos="7360"/>
          <w:tab w:val="left" w:pos="7680"/>
        </w:tabs>
        <w:kinsoku/>
        <w:wordWrap/>
        <w:topLinePunct w:val="0"/>
        <w:autoSpaceDE/>
        <w:autoSpaceDN/>
        <w:bidi w:val="0"/>
        <w:adjustRightInd w:val="0"/>
        <w:spacing w:line="600" w:lineRule="exact"/>
        <w:ind w:firstLine="640" w:firstLineChars="200"/>
        <w:jc w:val="left"/>
        <w:rPr>
          <w:rFonts w:hint="eastAsia" w:ascii="黑体" w:hAnsi="黑体" w:eastAsia="黑体" w:cs="黑体"/>
          <w:szCs w:val="32"/>
        </w:rPr>
      </w:pPr>
      <w:r>
        <w:rPr>
          <w:rFonts w:hint="eastAsia" w:ascii="黑体" w:hAnsi="黑体" w:eastAsia="黑体" w:cs="黑体"/>
          <w:szCs w:val="32"/>
        </w:rPr>
        <w:t>一、总体要求</w:t>
      </w:r>
    </w:p>
    <w:p>
      <w:pPr>
        <w:keepNext w:val="0"/>
        <w:keepLines w:val="0"/>
        <w:pageBreakBefore w:val="0"/>
        <w:shd w:val="clear"/>
        <w:tabs>
          <w:tab w:val="left" w:pos="7360"/>
          <w:tab w:val="left" w:pos="7680"/>
        </w:tabs>
        <w:kinsoku/>
        <w:wordWrap/>
        <w:topLinePunct w:val="0"/>
        <w:autoSpaceDE/>
        <w:autoSpaceDN/>
        <w:bidi w:val="0"/>
        <w:adjustRightInd w:val="0"/>
        <w:spacing w:line="600" w:lineRule="exact"/>
        <w:ind w:firstLine="664" w:firstLineChars="200"/>
        <w:jc w:val="both"/>
        <w:rPr>
          <w:rFonts w:hint="eastAsia" w:ascii="仿宋" w:hAnsi="仿宋" w:eastAsia="仿宋" w:cs="仿宋_GB2312"/>
        </w:rPr>
      </w:pPr>
      <w:r>
        <w:rPr>
          <w:rFonts w:hint="eastAsia" w:ascii="仿宋" w:hAnsi="仿宋" w:eastAsia="仿宋" w:cs="仿宋_GB2312"/>
          <w:spacing w:val="6"/>
        </w:rPr>
        <w:t>深入贯彻落实党的二十大精神和习近平总书记关于保障国家水安全的重要论述精神，聚焦河湖安全保护的重点领域和关键环节，加强全市水利部门与审判机关、检察机关、公安机关、司法行政机关的协作配合，</w:t>
      </w:r>
      <w:r>
        <w:rPr>
          <w:rFonts w:hint="eastAsia" w:ascii="仿宋" w:hAnsi="仿宋" w:eastAsia="仿宋" w:cs="仿宋_GB2312"/>
        </w:rPr>
        <w:t>依法打击侵占河湖、妨碍行洪安全、破坏水工程、非法采</w:t>
      </w:r>
      <w:r>
        <w:rPr>
          <w:rFonts w:hint="eastAsia" w:ascii="仿宋" w:hAnsi="仿宋" w:eastAsia="仿宋" w:cs="仿宋_GB2312"/>
          <w:spacing w:val="-6"/>
        </w:rPr>
        <w:t>砂、非法取水、人为造成水土流失等领域的水事违法犯罪行为，</w:t>
      </w:r>
      <w:r>
        <w:rPr>
          <w:rFonts w:hint="eastAsia" w:ascii="仿宋" w:hAnsi="仿宋" w:eastAsia="仿宋" w:cs="仿宋_GB2312"/>
        </w:rPr>
        <w:t>联动提升打击合力，形成严厉打击水事违法犯罪行为的高压态势，立案查处并曝光一批典型违法案件，全面强化水行政执法与刑事司法衔接、与检察公益诉讼协作，切实维护河湖管理秩序，共同保障国家水安全。</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黑体" w:hAnsi="黑体" w:eastAsia="黑体" w:cs="黑体"/>
          <w:szCs w:val="32"/>
        </w:rPr>
      </w:pPr>
      <w:r>
        <w:rPr>
          <w:rFonts w:hint="eastAsia" w:ascii="黑体" w:hAnsi="黑体" w:eastAsia="黑体" w:cs="黑体"/>
          <w:szCs w:val="32"/>
        </w:rPr>
        <w:t>二、组织领导</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仿宋" w:hAnsi="仿宋" w:eastAsia="仿宋"/>
          <w:szCs w:val="32"/>
        </w:rPr>
      </w:pPr>
      <w:r>
        <w:rPr>
          <w:rFonts w:hint="eastAsia" w:ascii="仿宋" w:hAnsi="仿宋" w:eastAsia="仿宋"/>
          <w:szCs w:val="32"/>
        </w:rPr>
        <w:t>成立河湖安全保护专项执法行动办公室，办公室设在水政监察</w:t>
      </w:r>
      <w:r>
        <w:rPr>
          <w:rFonts w:hint="eastAsia" w:ascii="仿宋" w:hAnsi="仿宋" w:eastAsia="仿宋"/>
          <w:szCs w:val="32"/>
          <w:lang w:val="en-US" w:eastAsia="zh-CN"/>
        </w:rPr>
        <w:t>大</w:t>
      </w:r>
      <w:r>
        <w:rPr>
          <w:rFonts w:hint="eastAsia" w:ascii="仿宋" w:hAnsi="仿宋" w:eastAsia="仿宋"/>
          <w:szCs w:val="32"/>
        </w:rPr>
        <w:t>队，由政策法规和监督科、水资源管理科、运行管理科、水土保持科、建设</w:t>
      </w:r>
      <w:r>
        <w:rPr>
          <w:rFonts w:hint="eastAsia" w:ascii="仿宋" w:hAnsi="仿宋" w:eastAsia="仿宋"/>
          <w:szCs w:val="32"/>
          <w:lang w:val="en-US" w:eastAsia="zh-CN"/>
        </w:rPr>
        <w:t>管理</w:t>
      </w:r>
      <w:r>
        <w:rPr>
          <w:rFonts w:hint="eastAsia" w:ascii="仿宋" w:hAnsi="仿宋" w:eastAsia="仿宋"/>
          <w:szCs w:val="32"/>
        </w:rPr>
        <w:t>科、农水科</w:t>
      </w:r>
      <w:r>
        <w:rPr>
          <w:rFonts w:hint="eastAsia" w:ascii="仿宋" w:hAnsi="仿宋" w:eastAsia="仿宋"/>
          <w:szCs w:val="32"/>
          <w:lang w:val="en-US" w:eastAsia="zh-CN"/>
        </w:rPr>
        <w:t>以及河道管理所、</w:t>
      </w:r>
      <w:r>
        <w:rPr>
          <w:rFonts w:hint="eastAsia" w:ascii="仿宋" w:hAnsi="仿宋" w:eastAsia="仿宋"/>
          <w:color w:val="auto"/>
          <w:szCs w:val="32"/>
          <w:lang w:val="en-US" w:eastAsia="zh-CN"/>
        </w:rPr>
        <w:t>节约用水办公室、</w:t>
      </w:r>
      <w:r>
        <w:rPr>
          <w:rFonts w:hint="eastAsia" w:ascii="仿宋" w:hAnsi="仿宋" w:eastAsia="仿宋" w:cs="仿宋_GB2312"/>
          <w:color w:val="auto"/>
          <w:lang w:val="en-US" w:eastAsia="zh-CN"/>
        </w:rPr>
        <w:t>马庙水库管理所、安沟水库管理所</w:t>
      </w:r>
      <w:r>
        <w:rPr>
          <w:rFonts w:hint="eastAsia" w:ascii="仿宋" w:hAnsi="仿宋" w:eastAsia="仿宋" w:cs="仿宋_GB2312"/>
          <w:color w:val="auto"/>
        </w:rPr>
        <w:t>、</w:t>
      </w:r>
      <w:r>
        <w:rPr>
          <w:rFonts w:hint="eastAsia" w:ascii="仿宋" w:hAnsi="仿宋" w:eastAsia="仿宋" w:cs="仿宋_GB2312"/>
          <w:color w:val="auto"/>
          <w:lang w:val="en-US" w:eastAsia="zh-CN"/>
        </w:rPr>
        <w:t>涧山口水库管理所、滕口水库管理所</w:t>
      </w:r>
      <w:r>
        <w:rPr>
          <w:rFonts w:hint="eastAsia" w:ascii="仿宋" w:hAnsi="仿宋" w:eastAsia="仿宋"/>
          <w:szCs w:val="32"/>
          <w:lang w:val="en-US" w:eastAsia="zh-CN"/>
        </w:rPr>
        <w:t>、小型水库管理中心、幸福渠管理所、跃进渠管理所</w:t>
      </w:r>
      <w:r>
        <w:rPr>
          <w:rFonts w:hint="eastAsia" w:ascii="仿宋" w:hAnsi="仿宋" w:eastAsia="仿宋"/>
          <w:szCs w:val="32"/>
        </w:rPr>
        <w:t>抽调人员具体负责专项执法行动的组织实施。</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黑体" w:hAnsi="黑体" w:eastAsia="黑体" w:cs="黑体"/>
          <w:szCs w:val="32"/>
        </w:rPr>
      </w:pPr>
      <w:r>
        <w:rPr>
          <w:rFonts w:hint="eastAsia" w:ascii="黑体" w:hAnsi="黑体" w:eastAsia="黑体" w:cs="黑体"/>
          <w:szCs w:val="32"/>
        </w:rPr>
        <w:t>三、专项执法行动重点</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根据《中华人民共和国水法》《中华人民共和国防洪法》《中华人民共和国水土保持法》《中华人民共和国黄河保护法》《中华人民共和国地下水管理条例》《平顶山市河道保护条例》《平顶山市节约用水条例》《中华人民共和国治安管理处罚法》《中华人民共和国刑法》等法律法规，重点打击以下重点领域的违法犯罪行为。</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楷体" w:hAnsi="楷体" w:eastAsia="楷体" w:cs="楷体_GB2312"/>
        </w:rPr>
      </w:pPr>
      <w:r>
        <w:rPr>
          <w:rFonts w:hint="eastAsia" w:ascii="楷体" w:hAnsi="楷体" w:eastAsia="楷体" w:cs="楷体_GB2312"/>
        </w:rPr>
        <w:t>（一）影响防洪安全</w:t>
      </w:r>
    </w:p>
    <w:p>
      <w:pPr>
        <w:keepNext w:val="0"/>
        <w:keepLines w:val="0"/>
        <w:pageBreakBefore w:val="0"/>
        <w:tabs>
          <w:tab w:val="left" w:pos="6952"/>
        </w:tabs>
        <w:kinsoku/>
        <w:wordWrap/>
        <w:topLinePunct w:val="0"/>
        <w:autoSpaceDE/>
        <w:autoSpaceDN/>
        <w:bidi w:val="0"/>
        <w:adjustRightInd w:val="0"/>
        <w:spacing w:line="600" w:lineRule="exact"/>
        <w:ind w:firstLine="616" w:firstLineChars="200"/>
        <w:rPr>
          <w:rFonts w:hint="eastAsia" w:ascii="仿宋" w:hAnsi="仿宋" w:eastAsia="仿宋" w:cs="仿宋_GB2312"/>
        </w:rPr>
      </w:pPr>
      <w:r>
        <w:rPr>
          <w:rFonts w:hint="eastAsia" w:ascii="仿宋" w:hAnsi="仿宋" w:eastAsia="仿宋" w:cs="仿宋_GB2312"/>
          <w:spacing w:val="-6"/>
        </w:rPr>
        <w:t>1.在河道、湖泊管理范围内建设妨碍行洪的建筑物构筑物，</w:t>
      </w:r>
      <w:r>
        <w:rPr>
          <w:rFonts w:hint="eastAsia" w:ascii="仿宋" w:hAnsi="仿宋" w:eastAsia="仿宋" w:cs="仿宋_GB2312"/>
        </w:rPr>
        <w:t>弃置或堆放阻碍行洪物体和种植阻碍行洪的林木及高杆作物等妨碍河道行洪安全的行为，或者从事影响河势稳定、危害河岸堤防安全等其他妨碍河道行洪的行为；</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 xml:space="preserve">2.非法围垦、填占河湖（水库）库容的行为； </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3.违法利用、占用河湖水域和河湖岸线的行为；</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4.未经水行政主管部门对其工程建设方案审查同意或者未按照有关水行政主管部门审查批准的位置、界限，在河道、湖泊管理范围内从事工程设施建设活动的行为；</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5.拒不服从防汛抗旱调度的行为。</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楷体" w:hAnsi="楷体" w:eastAsia="楷体" w:cs="楷体_GB2312"/>
        </w:rPr>
      </w:pPr>
      <w:r>
        <w:rPr>
          <w:rFonts w:hint="eastAsia" w:ascii="楷体" w:hAnsi="楷体" w:eastAsia="楷体" w:cs="楷体_GB2312"/>
        </w:rPr>
        <w:t>（二）破坏水资源水生态水环境</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1.未经批准擅自取水、未依照批准的取水许可规定条件取水的，以及未取得取水申请批准文件擅自建设取水工程或者设施的行为；</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 xml:space="preserve">2.破坏水文水资源监测设施的行为;   </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3.因地下工程建设对地下水补给、径流、排泄等造成重大不利影响的行为;</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4.开办生产建设项目造成水土流失的违法行为。</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楷体" w:hAnsi="楷体" w:eastAsia="楷体" w:cs="楷体_GB2312"/>
        </w:rPr>
      </w:pPr>
      <w:r>
        <w:rPr>
          <w:rFonts w:hint="eastAsia" w:ascii="楷体" w:hAnsi="楷体" w:eastAsia="楷体" w:cs="楷体_GB2312"/>
        </w:rPr>
        <w:t>（三）河道非法采砂</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1.未经批准擅自采砂行为；</w:t>
      </w:r>
    </w:p>
    <w:p>
      <w:pPr>
        <w:keepNext w:val="0"/>
        <w:keepLines w:val="0"/>
        <w:pageBreakBefore w:val="0"/>
        <w:tabs>
          <w:tab w:val="left" w:pos="6952"/>
        </w:tabs>
        <w:kinsoku/>
        <w:wordWrap/>
        <w:topLinePunct w:val="0"/>
        <w:autoSpaceDE/>
        <w:autoSpaceDN/>
        <w:bidi w:val="0"/>
        <w:adjustRightInd w:val="0"/>
        <w:spacing w:line="600" w:lineRule="exact"/>
        <w:ind w:firstLine="616" w:firstLineChars="200"/>
        <w:rPr>
          <w:rFonts w:hint="eastAsia" w:ascii="仿宋" w:hAnsi="仿宋" w:eastAsia="仿宋" w:cs="仿宋_GB2312"/>
        </w:rPr>
      </w:pPr>
      <w:r>
        <w:rPr>
          <w:rFonts w:hint="eastAsia" w:ascii="仿宋" w:hAnsi="仿宋" w:eastAsia="仿宋" w:cs="仿宋_GB2312"/>
          <w:spacing w:val="-6"/>
        </w:rPr>
        <w:t>2.在禁采区、禁采期采砂，以及超范围、超深度、超期限、</w:t>
      </w:r>
      <w:r>
        <w:rPr>
          <w:rFonts w:hint="eastAsia" w:ascii="仿宋" w:hAnsi="仿宋" w:eastAsia="仿宋" w:cs="仿宋_GB2312"/>
        </w:rPr>
        <w:t>超许可量等未按许可要求非法采砂的行为，河道采砂业务转包给其他单位和个人的行为；</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3.以疏浚为名行非法采砂之实的行为；</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4.装运违法开采砂石的行为；</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5.在采砂管理中的黑恶势力犯罪。</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楷体" w:hAnsi="楷体" w:eastAsia="楷体" w:cs="楷体_GB2312"/>
        </w:rPr>
      </w:pPr>
      <w:r>
        <w:rPr>
          <w:rFonts w:hint="eastAsia" w:ascii="楷体" w:hAnsi="楷体" w:eastAsia="楷体" w:cs="楷体_GB2312"/>
        </w:rPr>
        <w:t>（四）影响水利工程安全</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 xml:space="preserve">1.毁坏大坝或者其观测、通信、动力、照明、交通、消防等管理设施； </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2.擅自操作大坝的泄洪闸门、输水闸门以及其他设施，破坏大坝正常运行的行为；</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黑体" w:hAnsi="黑体" w:eastAsia="黑体" w:cs="黑体"/>
          <w:szCs w:val="32"/>
        </w:rPr>
      </w:pPr>
      <w:r>
        <w:rPr>
          <w:rFonts w:hint="eastAsia" w:ascii="黑体" w:hAnsi="黑体" w:eastAsia="黑体" w:cs="黑体"/>
          <w:szCs w:val="32"/>
        </w:rPr>
        <w:t>四、工作任务与时间安排</w:t>
      </w:r>
    </w:p>
    <w:p>
      <w:pPr>
        <w:keepNext w:val="0"/>
        <w:keepLines w:val="0"/>
        <w:pageBreakBefore w:val="0"/>
        <w:tabs>
          <w:tab w:val="left" w:pos="7360"/>
          <w:tab w:val="left" w:pos="7680"/>
        </w:tabs>
        <w:kinsoku/>
        <w:wordWrap/>
        <w:topLinePunct w:val="0"/>
        <w:autoSpaceDE/>
        <w:autoSpaceDN/>
        <w:bidi w:val="0"/>
        <w:adjustRightInd w:val="0"/>
        <w:spacing w:line="600" w:lineRule="exact"/>
        <w:ind w:firstLine="480" w:firstLineChars="150"/>
        <w:jc w:val="left"/>
        <w:rPr>
          <w:rFonts w:hint="eastAsia" w:ascii="楷体" w:hAnsi="楷体" w:eastAsia="楷体" w:cs="楷体_GB2312"/>
          <w:szCs w:val="32"/>
        </w:rPr>
      </w:pPr>
      <w:r>
        <w:rPr>
          <w:rFonts w:hint="eastAsia" w:ascii="楷体" w:hAnsi="楷体" w:eastAsia="楷体" w:cs="楷体_GB2312"/>
          <w:szCs w:val="32"/>
        </w:rPr>
        <w:t>（一）动员部署阶段（2023年6月底前）</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仿宋" w:hAnsi="仿宋" w:eastAsia="仿宋" w:cs="楷体_GB2312"/>
          <w:szCs w:val="32"/>
        </w:rPr>
      </w:pPr>
      <w:r>
        <w:rPr>
          <w:rFonts w:hint="eastAsia" w:ascii="仿宋" w:hAnsi="仿宋" w:eastAsia="仿宋" w:cs="楷体_GB2312"/>
          <w:szCs w:val="32"/>
        </w:rPr>
        <w:t>1.明确行动任务。</w:t>
      </w:r>
      <w:r>
        <w:rPr>
          <w:rFonts w:hint="eastAsia" w:ascii="仿宋" w:hAnsi="仿宋" w:eastAsia="仿宋" w:cs="楷体_GB2312"/>
          <w:color w:val="auto"/>
          <w:szCs w:val="32"/>
          <w:lang w:val="en-US" w:eastAsia="zh-CN"/>
        </w:rPr>
        <w:t>根据通知要求，</w:t>
      </w:r>
      <w:r>
        <w:rPr>
          <w:rFonts w:hint="eastAsia" w:ascii="仿宋" w:hAnsi="仿宋" w:eastAsia="仿宋" w:cs="楷体_GB2312"/>
          <w:color w:val="auto"/>
          <w:szCs w:val="32"/>
        </w:rPr>
        <w:t>结合</w:t>
      </w:r>
      <w:r>
        <w:rPr>
          <w:rFonts w:hint="eastAsia" w:ascii="仿宋" w:hAnsi="仿宋" w:eastAsia="仿宋" w:cs="楷体_GB2312"/>
          <w:color w:val="auto"/>
          <w:szCs w:val="32"/>
          <w:lang w:val="en-US" w:eastAsia="zh-CN"/>
        </w:rPr>
        <w:t>我市</w:t>
      </w:r>
      <w:r>
        <w:rPr>
          <w:rFonts w:hint="eastAsia" w:ascii="仿宋" w:hAnsi="仿宋" w:eastAsia="仿宋" w:cs="楷体_GB2312"/>
          <w:color w:val="auto"/>
          <w:szCs w:val="32"/>
        </w:rPr>
        <w:t>实际</w:t>
      </w:r>
      <w:r>
        <w:rPr>
          <w:rFonts w:hint="eastAsia" w:ascii="仿宋" w:hAnsi="仿宋" w:eastAsia="仿宋" w:cs="楷体_GB2312"/>
          <w:szCs w:val="32"/>
        </w:rPr>
        <w:t>，制定专项行动工作计划，落实部门分工，明确任务和要求，6月底前完成工作部署。</w:t>
      </w:r>
    </w:p>
    <w:p>
      <w:pPr>
        <w:keepNext w:val="0"/>
        <w:keepLines w:val="0"/>
        <w:pageBreakBefore w:val="0"/>
        <w:tabs>
          <w:tab w:val="left" w:pos="7360"/>
          <w:tab w:val="left" w:pos="7680"/>
        </w:tabs>
        <w:kinsoku/>
        <w:wordWrap/>
        <w:topLinePunct w:val="0"/>
        <w:autoSpaceDE/>
        <w:autoSpaceDN/>
        <w:bidi w:val="0"/>
        <w:adjustRightInd w:val="0"/>
        <w:spacing w:line="600" w:lineRule="exact"/>
        <w:ind w:firstLine="480" w:firstLineChars="150"/>
        <w:jc w:val="left"/>
        <w:rPr>
          <w:rFonts w:hint="eastAsia" w:ascii="仿宋" w:hAnsi="仿宋" w:eastAsia="仿宋" w:cs="楷体_GB2312"/>
          <w:szCs w:val="32"/>
        </w:rPr>
      </w:pPr>
      <w:r>
        <w:rPr>
          <w:rFonts w:hint="eastAsia" w:ascii="仿宋" w:hAnsi="仿宋" w:eastAsia="仿宋" w:cs="楷体_GB2312"/>
          <w:szCs w:val="32"/>
        </w:rPr>
        <w:t xml:space="preserve"> 2.公开举报电话。通过多种方式对外公布本单位的监督举报电话及受理时间，受理群众有关违法违规河湖问题投诉举报，接受社会监督。</w:t>
      </w:r>
    </w:p>
    <w:p>
      <w:pPr>
        <w:keepNext w:val="0"/>
        <w:keepLines w:val="0"/>
        <w:pageBreakBefore w:val="0"/>
        <w:tabs>
          <w:tab w:val="left" w:pos="7360"/>
          <w:tab w:val="left" w:pos="7680"/>
        </w:tabs>
        <w:kinsoku/>
        <w:wordWrap/>
        <w:topLinePunct w:val="0"/>
        <w:autoSpaceDE/>
        <w:autoSpaceDN/>
        <w:bidi w:val="0"/>
        <w:adjustRightInd w:val="0"/>
        <w:spacing w:line="600" w:lineRule="exact"/>
        <w:ind w:firstLine="480" w:firstLineChars="150"/>
        <w:jc w:val="left"/>
        <w:rPr>
          <w:rFonts w:hint="eastAsia" w:ascii="楷体" w:hAnsi="楷体" w:eastAsia="楷体" w:cs="楷体_GB2312"/>
          <w:szCs w:val="32"/>
        </w:rPr>
      </w:pPr>
      <w:r>
        <w:rPr>
          <w:rFonts w:hint="eastAsia" w:ascii="楷体" w:hAnsi="楷体" w:eastAsia="楷体" w:cs="楷体_GB2312"/>
          <w:szCs w:val="32"/>
        </w:rPr>
        <w:t>（二）全面排查阶段（2023年7月1日-8月31日）</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仿宋" w:hAnsi="仿宋" w:eastAsia="仿宋" w:cs="楷体_GB2312"/>
          <w:szCs w:val="32"/>
        </w:rPr>
      </w:pPr>
      <w:r>
        <w:rPr>
          <w:rFonts w:hint="eastAsia" w:ascii="仿宋" w:hAnsi="仿宋" w:eastAsia="仿宋" w:cs="楷体_GB2312"/>
          <w:szCs w:val="32"/>
        </w:rPr>
        <w:t>全面排查阶段工作由</w:t>
      </w:r>
      <w:r>
        <w:rPr>
          <w:rFonts w:hint="eastAsia" w:ascii="仿宋" w:hAnsi="仿宋" w:eastAsia="仿宋" w:cs="楷体_GB2312"/>
          <w:color w:val="auto"/>
          <w:szCs w:val="32"/>
        </w:rPr>
        <w:t>水利局</w:t>
      </w:r>
      <w:r>
        <w:rPr>
          <w:rFonts w:hint="eastAsia" w:ascii="仿宋" w:hAnsi="仿宋" w:eastAsia="仿宋" w:cs="楷体_GB2312"/>
          <w:szCs w:val="32"/>
        </w:rPr>
        <w:t>统一组织领导，各业务科室或者单位根据工作职责牵头主管工作组织实施，水政监察大队做好配合。</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仿宋" w:hAnsi="仿宋" w:eastAsia="仿宋" w:cs="楷体_GB2312"/>
          <w:szCs w:val="32"/>
        </w:rPr>
      </w:pPr>
      <w:r>
        <w:rPr>
          <w:rFonts w:hint="eastAsia" w:ascii="仿宋" w:hAnsi="仿宋" w:eastAsia="仿宋" w:cs="楷体_GB2312"/>
          <w:szCs w:val="32"/>
        </w:rPr>
        <w:t>1.开展全面自查。</w:t>
      </w:r>
      <w:r>
        <w:rPr>
          <w:rFonts w:hint="eastAsia" w:ascii="仿宋" w:hAnsi="仿宋" w:eastAsia="仿宋" w:cs="仿宋_GB2312"/>
          <w:spacing w:val="-6"/>
        </w:rPr>
        <w:t>本单位河湖管理、水旱灾害防御、水资源、水土保持、工程运行、采砂管理、水文、</w:t>
      </w:r>
      <w:r>
        <w:rPr>
          <w:rFonts w:hint="eastAsia" w:ascii="仿宋" w:hAnsi="仿宋" w:eastAsia="仿宋" w:cs="仿宋_GB2312"/>
          <w:color w:val="auto"/>
        </w:rPr>
        <w:t>安全监督</w:t>
      </w:r>
      <w:r>
        <w:rPr>
          <w:rFonts w:hint="eastAsia" w:ascii="仿宋" w:hAnsi="仿宋" w:eastAsia="仿宋" w:cs="仿宋_GB2312"/>
          <w:color w:val="auto"/>
          <w:spacing w:val="-6"/>
        </w:rPr>
        <w:t>、</w:t>
      </w:r>
      <w:r>
        <w:rPr>
          <w:rFonts w:hint="eastAsia" w:ascii="仿宋" w:hAnsi="仿宋" w:eastAsia="仿宋" w:cs="仿宋_GB2312"/>
          <w:spacing w:val="-6"/>
        </w:rPr>
        <w:t>水行政执法</w:t>
      </w:r>
      <w:r>
        <w:rPr>
          <w:rFonts w:hint="eastAsia" w:ascii="仿宋" w:hAnsi="仿宋" w:eastAsia="仿宋" w:cs="仿宋_GB2312"/>
        </w:rPr>
        <w:t>等</w:t>
      </w:r>
      <w:r>
        <w:rPr>
          <w:rFonts w:hint="eastAsia" w:ascii="仿宋" w:hAnsi="仿宋" w:eastAsia="仿宋" w:cs="仿宋_GB2312"/>
          <w:lang w:val="en-US" w:eastAsia="zh-CN"/>
        </w:rPr>
        <w:t>职能</w:t>
      </w:r>
      <w:r>
        <w:rPr>
          <w:rFonts w:hint="eastAsia" w:ascii="仿宋" w:hAnsi="仿宋" w:eastAsia="仿宋" w:cs="仿宋_GB2312"/>
        </w:rPr>
        <w:t>部门</w:t>
      </w:r>
      <w:r>
        <w:rPr>
          <w:rFonts w:hint="eastAsia" w:ascii="仿宋" w:hAnsi="仿宋" w:eastAsia="仿宋" w:cs="楷体_GB2312"/>
          <w:szCs w:val="32"/>
        </w:rPr>
        <w:t>开展全面排查。排查工作要做到横向到边、纵向到底、不留空白、不留死角、不得瞒报漏报。排查中发现的问题，要形成问题线索台</w:t>
      </w:r>
      <w:r>
        <w:rPr>
          <w:rFonts w:hint="eastAsia" w:ascii="仿宋" w:hAnsi="仿宋" w:eastAsia="仿宋" w:cs="仿宋_GB2312"/>
          <w:spacing w:val="-6"/>
        </w:rPr>
        <w:t>账（见附件1）。</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楷体_GB2312"/>
          <w:szCs w:val="32"/>
        </w:rPr>
      </w:pPr>
      <w:r>
        <w:rPr>
          <w:rFonts w:hint="eastAsia" w:ascii="仿宋" w:hAnsi="仿宋" w:eastAsia="仿宋" w:cs="楷体_GB2312"/>
          <w:szCs w:val="32"/>
        </w:rPr>
        <w:t>2.排查工作任务分工。根据</w:t>
      </w:r>
      <w:r>
        <w:rPr>
          <w:rFonts w:hint="eastAsia" w:ascii="仿宋" w:hAnsi="仿宋" w:eastAsia="仿宋" w:cs="楷体_GB2312"/>
          <w:szCs w:val="32"/>
          <w:lang w:val="en-US" w:eastAsia="zh-CN"/>
        </w:rPr>
        <w:t>我局</w:t>
      </w:r>
      <w:r>
        <w:rPr>
          <w:rFonts w:hint="eastAsia" w:ascii="仿宋" w:hAnsi="仿宋" w:eastAsia="仿宋" w:cs="楷体_GB2312"/>
          <w:szCs w:val="32"/>
        </w:rPr>
        <w:t>各科室或单位承担的工作任务，具体分工如下：</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color w:val="auto"/>
        </w:rPr>
      </w:pPr>
      <w:r>
        <w:rPr>
          <w:rFonts w:hint="eastAsia" w:ascii="仿宋" w:hAnsi="仿宋" w:eastAsia="仿宋" w:cs="楷体_GB2312"/>
          <w:color w:val="auto"/>
          <w:szCs w:val="32"/>
        </w:rPr>
        <w:t>水资源科牵头，节约用水办公室配合完成全市</w:t>
      </w:r>
      <w:r>
        <w:rPr>
          <w:rFonts w:hint="eastAsia" w:ascii="仿宋" w:hAnsi="仿宋" w:eastAsia="仿宋" w:cs="仿宋_GB2312"/>
          <w:color w:val="auto"/>
        </w:rPr>
        <w:t>未经批准擅自取水、未依照批准的取水许可规定条件取水的，以及未取得取水申请批准文件擅自建设取水工程或者设施的行为；破坏水文水资源监测设施的行为；因地下工程建设对地下水补给、径流、排泄等造成重大不利影响等行为的排查工作。</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color w:val="auto"/>
        </w:rPr>
      </w:pPr>
      <w:r>
        <w:rPr>
          <w:rFonts w:hint="eastAsia" w:ascii="仿宋" w:hAnsi="仿宋" w:eastAsia="仿宋" w:cs="仿宋_GB2312"/>
          <w:color w:val="auto"/>
          <w:lang w:val="en-US" w:eastAsia="zh-CN"/>
        </w:rPr>
        <w:t>建设</w:t>
      </w:r>
      <w:r>
        <w:rPr>
          <w:rFonts w:hint="eastAsia" w:ascii="仿宋" w:hAnsi="仿宋" w:eastAsia="仿宋" w:cs="仿宋_GB2312"/>
          <w:color w:val="auto"/>
        </w:rPr>
        <w:t>管理科</w:t>
      </w:r>
      <w:r>
        <w:rPr>
          <w:rFonts w:hint="eastAsia" w:ascii="仿宋" w:hAnsi="仿宋" w:eastAsia="仿宋" w:cs="仿宋_GB2312"/>
          <w:color w:val="auto"/>
          <w:lang w:val="en-US" w:eastAsia="zh-CN"/>
        </w:rPr>
        <w:t>牵头</w:t>
      </w:r>
      <w:r>
        <w:rPr>
          <w:rFonts w:hint="eastAsia" w:ascii="仿宋" w:hAnsi="仿宋" w:eastAsia="仿宋" w:cs="仿宋_GB2312"/>
          <w:color w:val="auto"/>
        </w:rPr>
        <w:t>，</w:t>
      </w:r>
      <w:r>
        <w:rPr>
          <w:rFonts w:hint="eastAsia" w:ascii="仿宋" w:hAnsi="仿宋" w:eastAsia="仿宋" w:cs="仿宋_GB2312"/>
          <w:color w:val="auto"/>
          <w:lang w:val="en-US" w:eastAsia="zh-CN"/>
        </w:rPr>
        <w:t>马庙水库管理所、安沟水库管理所</w:t>
      </w:r>
      <w:r>
        <w:rPr>
          <w:rFonts w:hint="eastAsia" w:ascii="仿宋" w:hAnsi="仿宋" w:eastAsia="仿宋" w:cs="仿宋_GB2312"/>
          <w:color w:val="auto"/>
        </w:rPr>
        <w:t>、</w:t>
      </w:r>
      <w:r>
        <w:rPr>
          <w:rFonts w:hint="eastAsia" w:ascii="仿宋" w:hAnsi="仿宋" w:eastAsia="仿宋" w:cs="仿宋_GB2312"/>
          <w:color w:val="auto"/>
          <w:lang w:val="en-US" w:eastAsia="zh-CN"/>
        </w:rPr>
        <w:t>涧山口水库管理所、滕口水库管理所及小型水库管理中心</w:t>
      </w:r>
      <w:r>
        <w:rPr>
          <w:rFonts w:hint="eastAsia" w:ascii="仿宋" w:hAnsi="仿宋" w:eastAsia="仿宋" w:cs="仿宋_GB2312"/>
          <w:color w:val="auto"/>
        </w:rPr>
        <w:t>配合完成全市毁坏大坝或者其观测、通信、动力、照明、交通、消防等管理设施；擅自操作大坝的泄洪闸门、输水闸门以及其他设施，破坏大坝正常运行等行为的排查工作。</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szCs w:val="32"/>
        </w:rPr>
      </w:pPr>
      <w:r>
        <w:rPr>
          <w:rFonts w:hint="eastAsia" w:ascii="仿宋" w:hAnsi="仿宋" w:eastAsia="仿宋" w:cs="仿宋_GB2312"/>
        </w:rPr>
        <w:t>水土保持科牵头</w:t>
      </w:r>
      <w:r>
        <w:rPr>
          <w:rFonts w:hint="eastAsia" w:ascii="仿宋" w:hAnsi="仿宋" w:eastAsia="仿宋" w:cs="仿宋_GB2312"/>
          <w:lang w:eastAsia="zh-CN"/>
        </w:rPr>
        <w:t>，</w:t>
      </w:r>
      <w:r>
        <w:rPr>
          <w:rFonts w:hint="eastAsia" w:ascii="仿宋" w:hAnsi="仿宋" w:eastAsia="仿宋" w:cs="仿宋_GB2312"/>
        </w:rPr>
        <w:t>完成全市开办生产建设项目造成水土流失的违法行为的排查工作。</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color w:val="auto"/>
        </w:rPr>
      </w:pPr>
      <w:r>
        <w:rPr>
          <w:rFonts w:hint="eastAsia" w:ascii="仿宋" w:hAnsi="仿宋" w:eastAsia="仿宋" w:cs="仿宋_GB2312"/>
          <w:color w:val="auto"/>
          <w:lang w:val="en-US" w:eastAsia="zh-CN"/>
        </w:rPr>
        <w:t>河道管理所</w:t>
      </w:r>
      <w:r>
        <w:rPr>
          <w:rFonts w:hint="eastAsia" w:ascii="仿宋" w:hAnsi="仿宋" w:eastAsia="仿宋" w:cs="仿宋_GB2312"/>
          <w:color w:val="auto"/>
        </w:rPr>
        <w:t>牵头，</w:t>
      </w:r>
      <w:r>
        <w:rPr>
          <w:rFonts w:hint="eastAsia" w:ascii="仿宋" w:hAnsi="仿宋" w:eastAsia="仿宋" w:cs="仿宋_GB2312"/>
          <w:color w:val="auto"/>
          <w:lang w:val="en-US" w:eastAsia="zh-CN"/>
        </w:rPr>
        <w:t>洗耳河管理办公室</w:t>
      </w:r>
      <w:r>
        <w:rPr>
          <w:rFonts w:hint="eastAsia" w:ascii="仿宋" w:hAnsi="仿宋" w:eastAsia="仿宋" w:cs="仿宋_GB2312"/>
          <w:color w:val="auto"/>
        </w:rPr>
        <w:t>配合</w:t>
      </w:r>
      <w:r>
        <w:rPr>
          <w:rFonts w:hint="eastAsia" w:ascii="仿宋" w:hAnsi="仿宋" w:eastAsia="仿宋" w:cs="仿宋_GB2312"/>
          <w:color w:val="auto"/>
          <w:spacing w:val="-6"/>
        </w:rPr>
        <w:t>完成全市在河道管理范围内建设妨碍行洪的建筑物构筑物，</w:t>
      </w:r>
      <w:r>
        <w:rPr>
          <w:rFonts w:hint="eastAsia" w:ascii="仿宋" w:hAnsi="仿宋" w:eastAsia="仿宋" w:cs="仿宋_GB2312"/>
          <w:color w:val="auto"/>
        </w:rPr>
        <w:t>弃置或堆放阻碍行洪物体和种植阻碍行洪的林木及高杆作物等妨碍河道行洪安全的行为，或者从事影响河势稳定、危害河岸堤防安全等其他妨碍河道行洪的行为；非法围垦、填占河湖（水库）库容的行为;违法利用、占用河湖水域和河湖岸线的行为；未经水行政主管部门对其工程建设方案审查同意或者未按照有关水行政主管部门审查批准的位置、界限，在河道管理范围内从事工程设施建设活动的行为；未经批准擅自采砂行为；</w:t>
      </w:r>
      <w:r>
        <w:rPr>
          <w:rFonts w:hint="eastAsia" w:ascii="仿宋" w:hAnsi="仿宋" w:eastAsia="仿宋" w:cs="仿宋_GB2312"/>
          <w:color w:val="auto"/>
          <w:spacing w:val="-6"/>
        </w:rPr>
        <w:t>在禁采区、禁采期采砂，以及超范围、超深度、超期限、</w:t>
      </w:r>
      <w:r>
        <w:rPr>
          <w:rFonts w:hint="eastAsia" w:ascii="仿宋" w:hAnsi="仿宋" w:eastAsia="仿宋" w:cs="仿宋_GB2312"/>
          <w:color w:val="auto"/>
        </w:rPr>
        <w:t>超许可量等未按许可要求非法采砂的行为，河道采砂业务转包给其他单位和个人的行为；以疏浚为名行非法采砂之实的行为；装运违法开采砂石等行为的排查工作。</w:t>
      </w:r>
    </w:p>
    <w:p>
      <w:pPr>
        <w:keepNext w:val="0"/>
        <w:keepLines w:val="0"/>
        <w:pageBreakBefore w:val="0"/>
        <w:tabs>
          <w:tab w:val="left" w:pos="6952"/>
        </w:tabs>
        <w:kinsoku/>
        <w:wordWrap/>
        <w:topLinePunct w:val="0"/>
        <w:autoSpaceDE/>
        <w:autoSpaceDN/>
        <w:bidi w:val="0"/>
        <w:adjustRightInd w:val="0"/>
        <w:spacing w:line="600" w:lineRule="exact"/>
        <w:ind w:firstLine="640" w:firstLineChars="200"/>
        <w:jc w:val="both"/>
        <w:rPr>
          <w:rFonts w:hint="eastAsia" w:ascii="仿宋" w:hAnsi="仿宋" w:eastAsia="仿宋" w:cs="仿宋_GB2312"/>
          <w:color w:val="auto"/>
        </w:rPr>
      </w:pPr>
      <w:r>
        <w:rPr>
          <w:rFonts w:hint="eastAsia" w:ascii="仿宋" w:hAnsi="仿宋" w:eastAsia="仿宋" w:cs="仿宋_GB2312"/>
          <w:color w:val="auto"/>
        </w:rPr>
        <w:t>运行管理科牵头</w:t>
      </w:r>
      <w:r>
        <w:rPr>
          <w:rFonts w:hint="eastAsia" w:ascii="仿宋" w:hAnsi="仿宋" w:eastAsia="仿宋" w:cs="仿宋_GB2312"/>
          <w:color w:val="auto"/>
          <w:lang w:val="en-US" w:eastAsia="zh-CN"/>
        </w:rPr>
        <w:t>，马庙水库管理所、安沟水库管理所</w:t>
      </w:r>
      <w:r>
        <w:rPr>
          <w:rFonts w:hint="eastAsia" w:ascii="仿宋" w:hAnsi="仿宋" w:eastAsia="仿宋" w:cs="仿宋_GB2312"/>
          <w:color w:val="auto"/>
        </w:rPr>
        <w:t>、</w:t>
      </w:r>
      <w:r>
        <w:rPr>
          <w:rFonts w:hint="eastAsia" w:ascii="仿宋" w:hAnsi="仿宋" w:eastAsia="仿宋" w:cs="仿宋_GB2312"/>
          <w:color w:val="auto"/>
          <w:lang w:val="en-US" w:eastAsia="zh-CN"/>
        </w:rPr>
        <w:t>涧山口水库管理所、滕口水库管理所及小型水库管理中心</w:t>
      </w:r>
      <w:r>
        <w:rPr>
          <w:rFonts w:hint="eastAsia" w:ascii="仿宋" w:hAnsi="仿宋" w:eastAsia="仿宋" w:cs="仿宋_GB2312"/>
          <w:color w:val="auto"/>
        </w:rPr>
        <w:t>配合</w:t>
      </w:r>
      <w:r>
        <w:rPr>
          <w:rFonts w:hint="eastAsia" w:ascii="仿宋" w:hAnsi="仿宋" w:eastAsia="仿宋" w:cs="仿宋_GB2312"/>
          <w:color w:val="auto"/>
          <w:spacing w:val="-6"/>
        </w:rPr>
        <w:t>完成全市在</w:t>
      </w:r>
      <w:r>
        <w:rPr>
          <w:rFonts w:hint="eastAsia" w:ascii="仿宋" w:hAnsi="仿宋" w:eastAsia="仿宋" w:cs="仿宋_GB2312"/>
          <w:color w:val="auto"/>
          <w:spacing w:val="-6"/>
          <w:lang w:val="en-US" w:eastAsia="zh-CN"/>
        </w:rPr>
        <w:t>水库（</w:t>
      </w:r>
      <w:r>
        <w:rPr>
          <w:rFonts w:hint="eastAsia" w:ascii="仿宋" w:hAnsi="仿宋" w:eastAsia="仿宋" w:cs="仿宋_GB2312"/>
          <w:color w:val="auto"/>
          <w:spacing w:val="-6"/>
        </w:rPr>
        <w:t>湖泊</w:t>
      </w:r>
      <w:r>
        <w:rPr>
          <w:rFonts w:hint="eastAsia" w:ascii="仿宋" w:hAnsi="仿宋" w:eastAsia="仿宋" w:cs="仿宋_GB2312"/>
          <w:color w:val="auto"/>
          <w:spacing w:val="-6"/>
          <w:lang w:val="en-US" w:eastAsia="zh-CN"/>
        </w:rPr>
        <w:t>）</w:t>
      </w:r>
      <w:r>
        <w:rPr>
          <w:rFonts w:hint="eastAsia" w:ascii="仿宋" w:hAnsi="仿宋" w:eastAsia="仿宋" w:cs="仿宋_GB2312"/>
          <w:color w:val="auto"/>
          <w:spacing w:val="-6"/>
        </w:rPr>
        <w:t>管理范围内建设妨碍行洪的建筑物构筑物，</w:t>
      </w:r>
      <w:r>
        <w:rPr>
          <w:rFonts w:hint="eastAsia" w:ascii="仿宋" w:hAnsi="仿宋" w:eastAsia="仿宋" w:cs="仿宋_GB2312"/>
          <w:color w:val="auto"/>
        </w:rPr>
        <w:t>弃置或堆放阻碍行洪物体和种植阻碍行洪的林木及高杆作物等妨碍行洪安全的行为；非法围垦、填占河湖（水库）库容的行为;违法利用、占用河湖水域和河湖岸线的行为；未经水行政主管部门对其工程建设方案审查同意或者未按照有关水行政主管部门审查批准的位置、界限，在河道、湖泊管理范围内从事工程设施建设活动的行为。</w:t>
      </w:r>
    </w:p>
    <w:p>
      <w:pPr>
        <w:pStyle w:val="8"/>
        <w:keepNext w:val="0"/>
        <w:keepLines w:val="0"/>
        <w:pageBreakBefore w:val="0"/>
        <w:kinsoku/>
        <w:wordWrap/>
        <w:topLinePunct w:val="0"/>
        <w:autoSpaceDE/>
        <w:autoSpaceDN/>
        <w:bidi w:val="0"/>
        <w:spacing w:after="0" w:line="600" w:lineRule="exact"/>
        <w:ind w:left="0" w:leftChars="0" w:firstLine="615"/>
        <w:rPr>
          <w:rFonts w:hint="eastAsia" w:ascii="仿宋" w:hAnsi="仿宋" w:eastAsia="仿宋" w:cs="仿宋_GB2312"/>
          <w:color w:val="auto"/>
          <w:spacing w:val="-6"/>
          <w:kern w:val="2"/>
          <w:sz w:val="32"/>
        </w:rPr>
      </w:pPr>
      <w:r>
        <w:rPr>
          <w:rFonts w:hint="eastAsia" w:ascii="仿宋" w:hAnsi="仿宋" w:eastAsia="仿宋" w:cs="仿宋_GB2312"/>
          <w:color w:val="auto"/>
          <w:spacing w:val="-6"/>
          <w:kern w:val="2"/>
          <w:sz w:val="32"/>
          <w:lang w:val="en-US" w:eastAsia="zh-CN"/>
        </w:rPr>
        <w:t>运行管理科</w:t>
      </w:r>
      <w:r>
        <w:rPr>
          <w:rFonts w:hint="eastAsia" w:ascii="仿宋" w:hAnsi="仿宋" w:eastAsia="仿宋" w:cs="仿宋_GB2312"/>
          <w:color w:val="auto"/>
          <w:spacing w:val="-6"/>
          <w:kern w:val="2"/>
          <w:sz w:val="32"/>
        </w:rPr>
        <w:t>牵头</w:t>
      </w:r>
      <w:r>
        <w:rPr>
          <w:rFonts w:hint="eastAsia" w:ascii="仿宋" w:hAnsi="仿宋" w:eastAsia="仿宋" w:cs="仿宋_GB2312"/>
          <w:color w:val="auto"/>
          <w:spacing w:val="-6"/>
          <w:kern w:val="2"/>
          <w:sz w:val="32"/>
          <w:lang w:eastAsia="zh-CN"/>
        </w:rPr>
        <w:t>，</w:t>
      </w:r>
      <w:r>
        <w:rPr>
          <w:rFonts w:hint="eastAsia" w:ascii="仿宋" w:hAnsi="仿宋" w:eastAsia="仿宋" w:cs="仿宋_GB2312"/>
          <w:color w:val="auto"/>
          <w:spacing w:val="-6"/>
          <w:kern w:val="2"/>
          <w:sz w:val="32"/>
          <w:lang w:val="en-US" w:eastAsia="zh-CN"/>
        </w:rPr>
        <w:t>旱情监测中心配合</w:t>
      </w:r>
      <w:r>
        <w:rPr>
          <w:rFonts w:hint="eastAsia" w:ascii="仿宋" w:hAnsi="仿宋" w:eastAsia="仿宋" w:cs="仿宋_GB2312"/>
          <w:color w:val="auto"/>
          <w:spacing w:val="-6"/>
          <w:kern w:val="2"/>
          <w:sz w:val="32"/>
        </w:rPr>
        <w:t>完成全市拒不服从防汛抗旱调度行为的排查工作。</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both"/>
        <w:rPr>
          <w:rFonts w:hint="eastAsia" w:ascii="仿宋" w:hAnsi="仿宋" w:eastAsia="仿宋"/>
          <w:szCs w:val="32"/>
        </w:rPr>
      </w:pPr>
      <w:r>
        <w:rPr>
          <w:rFonts w:hint="eastAsia" w:ascii="仿宋" w:hAnsi="仿宋" w:eastAsia="仿宋"/>
          <w:szCs w:val="32"/>
          <w:lang w:val="en-US" w:eastAsia="zh-CN"/>
        </w:rPr>
        <w:t>水利派出所</w:t>
      </w:r>
      <w:r>
        <w:rPr>
          <w:rFonts w:hint="eastAsia" w:ascii="仿宋" w:hAnsi="仿宋" w:eastAsia="仿宋"/>
          <w:szCs w:val="32"/>
        </w:rPr>
        <w:t>牵头</w:t>
      </w:r>
      <w:r>
        <w:rPr>
          <w:rFonts w:hint="eastAsia" w:ascii="仿宋" w:hAnsi="仿宋" w:eastAsia="仿宋"/>
          <w:szCs w:val="32"/>
          <w:lang w:eastAsia="zh-CN"/>
        </w:rPr>
        <w:t>，</w:t>
      </w:r>
      <w:r>
        <w:rPr>
          <w:rFonts w:hint="eastAsia" w:ascii="仿宋" w:hAnsi="仿宋" w:eastAsia="仿宋"/>
          <w:szCs w:val="32"/>
        </w:rPr>
        <w:t>完成全</w:t>
      </w:r>
      <w:r>
        <w:rPr>
          <w:rFonts w:hint="eastAsia" w:ascii="仿宋" w:hAnsi="仿宋" w:eastAsia="仿宋"/>
          <w:szCs w:val="32"/>
          <w:lang w:val="en-US" w:eastAsia="zh-CN"/>
        </w:rPr>
        <w:t>市</w:t>
      </w:r>
      <w:r>
        <w:rPr>
          <w:rFonts w:hint="eastAsia" w:ascii="仿宋" w:hAnsi="仿宋" w:eastAsia="仿宋"/>
          <w:szCs w:val="32"/>
        </w:rPr>
        <w:t>在采砂管理中的黑恶势力犯罪线索的收集</w:t>
      </w:r>
      <w:r>
        <w:rPr>
          <w:rFonts w:hint="eastAsia" w:ascii="仿宋" w:hAnsi="仿宋" w:eastAsia="仿宋"/>
          <w:szCs w:val="32"/>
          <w:lang w:val="en-US" w:eastAsia="zh-CN"/>
        </w:rPr>
        <w:t>及打击</w:t>
      </w:r>
      <w:r>
        <w:rPr>
          <w:rFonts w:hint="eastAsia" w:ascii="仿宋" w:hAnsi="仿宋" w:eastAsia="仿宋"/>
          <w:szCs w:val="32"/>
        </w:rPr>
        <w:t>工作。</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ascii="仿宋" w:hAnsi="仿宋" w:eastAsia="仿宋"/>
          <w:szCs w:val="32"/>
        </w:rPr>
      </w:pPr>
      <w:r>
        <w:rPr>
          <w:rFonts w:hint="eastAsia" w:ascii="仿宋" w:hAnsi="仿宋" w:eastAsia="仿宋"/>
          <w:szCs w:val="32"/>
        </w:rPr>
        <w:t>3.建立问题线索台账。牵头排查的有关科室或者单位要及时建立完善排查、整改台账，明确整改措施、整改责任、整改时限。未按期完成整改任务、需要依法查处的违法行为，请按照《</w:t>
      </w:r>
      <w:r>
        <w:rPr>
          <w:rFonts w:hint="eastAsia" w:ascii="仿宋" w:hAnsi="仿宋" w:eastAsia="仿宋"/>
          <w:szCs w:val="32"/>
          <w:lang w:val="en-US" w:eastAsia="zh-CN"/>
        </w:rPr>
        <w:t>汝州</w:t>
      </w:r>
      <w:r>
        <w:rPr>
          <w:rFonts w:hint="eastAsia" w:ascii="仿宋" w:hAnsi="仿宋" w:eastAsia="仿宋"/>
          <w:szCs w:val="32"/>
        </w:rPr>
        <w:t>市水利局关于水事违法线索移交有关问题的通知》（</w:t>
      </w:r>
      <w:r>
        <w:rPr>
          <w:rFonts w:hint="eastAsia" w:ascii="仿宋" w:hAnsi="仿宋" w:eastAsia="仿宋"/>
          <w:szCs w:val="32"/>
          <w:lang w:val="en-US" w:eastAsia="zh-CN"/>
        </w:rPr>
        <w:t>汝</w:t>
      </w:r>
      <w:r>
        <w:rPr>
          <w:rFonts w:hint="eastAsia" w:ascii="仿宋" w:hAnsi="仿宋" w:eastAsia="仿宋"/>
          <w:szCs w:val="32"/>
        </w:rPr>
        <w:t>水〔2022〕</w:t>
      </w:r>
      <w:r>
        <w:rPr>
          <w:rFonts w:hint="eastAsia" w:ascii="仿宋" w:hAnsi="仿宋" w:eastAsia="仿宋"/>
          <w:szCs w:val="32"/>
          <w:lang w:val="en-US" w:eastAsia="zh-CN"/>
        </w:rPr>
        <w:t>103</w:t>
      </w:r>
      <w:r>
        <w:rPr>
          <w:rFonts w:hint="eastAsia" w:ascii="仿宋" w:hAnsi="仿宋" w:eastAsia="仿宋"/>
          <w:szCs w:val="32"/>
        </w:rPr>
        <w:t>号）文件要求及时移送水行政执法机构。请有关科室或者单位于2023年8月2</w:t>
      </w:r>
      <w:r>
        <w:rPr>
          <w:rFonts w:hint="eastAsia" w:ascii="仿宋" w:hAnsi="仿宋" w:eastAsia="仿宋"/>
          <w:szCs w:val="32"/>
          <w:lang w:val="en-US" w:eastAsia="zh-CN"/>
        </w:rPr>
        <w:t>5</w:t>
      </w:r>
      <w:r>
        <w:rPr>
          <w:rFonts w:hint="eastAsia" w:ascii="仿宋" w:hAnsi="仿宋" w:eastAsia="仿宋"/>
          <w:szCs w:val="32"/>
        </w:rPr>
        <w:t>日将问题线索台账（见附件1）报水政监察</w:t>
      </w:r>
      <w:r>
        <w:rPr>
          <w:rFonts w:hint="eastAsia" w:ascii="仿宋" w:hAnsi="仿宋" w:eastAsia="仿宋"/>
          <w:szCs w:val="32"/>
          <w:lang w:val="en-US" w:eastAsia="zh-CN"/>
        </w:rPr>
        <w:t>大</w:t>
      </w:r>
      <w:r>
        <w:rPr>
          <w:rFonts w:hint="eastAsia" w:ascii="仿宋" w:hAnsi="仿宋" w:eastAsia="仿宋"/>
          <w:szCs w:val="32"/>
        </w:rPr>
        <w:t>队邮箱。</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仿宋" w:hAnsi="仿宋" w:eastAsia="仿宋"/>
          <w:szCs w:val="32"/>
        </w:rPr>
      </w:pPr>
      <w:r>
        <w:rPr>
          <w:rFonts w:hint="eastAsia" w:ascii="楷体" w:hAnsi="楷体" w:eastAsia="楷体" w:cs="楷体"/>
          <w:szCs w:val="32"/>
        </w:rPr>
        <w:t>（三）案件查处阶段（2023年9月1日-10月15日）</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仿宋" w:hAnsi="仿宋" w:eastAsia="仿宋"/>
          <w:szCs w:val="32"/>
        </w:rPr>
      </w:pPr>
      <w:r>
        <w:rPr>
          <w:rFonts w:hint="eastAsia" w:ascii="仿宋" w:hAnsi="仿宋" w:eastAsia="仿宋"/>
          <w:szCs w:val="32"/>
        </w:rPr>
        <w:t>案件查处阶段工作由水政监察大队牵头组织实施，局有关科室</w:t>
      </w:r>
      <w:r>
        <w:rPr>
          <w:rFonts w:hint="eastAsia" w:ascii="仿宋" w:hAnsi="仿宋" w:eastAsia="仿宋"/>
          <w:szCs w:val="32"/>
          <w:lang w:val="en-US" w:eastAsia="zh-CN"/>
        </w:rPr>
        <w:t>及单位</w:t>
      </w:r>
      <w:r>
        <w:rPr>
          <w:rFonts w:hint="eastAsia" w:ascii="仿宋" w:hAnsi="仿宋" w:eastAsia="仿宋"/>
          <w:szCs w:val="32"/>
        </w:rPr>
        <w:t>做好配合。</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both"/>
        <w:rPr>
          <w:rFonts w:hint="eastAsia" w:ascii="仿宋" w:hAnsi="仿宋" w:eastAsia="仿宋"/>
          <w:szCs w:val="32"/>
        </w:rPr>
      </w:pPr>
      <w:r>
        <w:rPr>
          <w:rFonts w:hint="eastAsia" w:ascii="仿宋" w:hAnsi="仿宋" w:eastAsia="仿宋"/>
          <w:szCs w:val="32"/>
        </w:rPr>
        <w:t>1.填报案件台账。列入问题台账的线索确属违法的，水行政执法部门要建立相应的执法案件台账（见附件2），按照应立尽立的原则，在职权范围内对水事违法案件进行立案查处，坚决杜绝有案不立、有案不查。列入执法案件台账的案件，自立案之日起10日内，要将案件查处情况在水行政执法统计直报系统（http://mwrdb.mwr.cn）中进行填报，并随案件进展情况适时更新。对重大、疑难水事违法案件要及时向上级单位报送，由上级单位挂牌督办，建立挂牌督办案件台账（见附件3）。</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both"/>
        <w:rPr>
          <w:rFonts w:hint="eastAsia" w:ascii="仿宋" w:hAnsi="仿宋" w:eastAsia="仿宋"/>
          <w:szCs w:val="32"/>
        </w:rPr>
      </w:pPr>
      <w:r>
        <w:rPr>
          <w:rFonts w:hint="eastAsia" w:ascii="仿宋" w:hAnsi="仿宋" w:eastAsia="仿宋"/>
          <w:szCs w:val="32"/>
        </w:rPr>
        <w:t>2.开展清理整治。各单位对于阻水严重的违法违规建筑物、构筑物等突出问题，应当于6月30日前基本完成清理整治。11月30日前，对列入问题线索台账（见附件1）的涉河湖问题，基本完成清理整治工作。对于因情况复杂、整改难度大等原因难以按期完成清理整治任务的，书面说明情况并逐级上报。</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both"/>
        <w:rPr>
          <w:rFonts w:hint="eastAsia" w:ascii="仿宋" w:hAnsi="仿宋" w:eastAsia="仿宋"/>
          <w:szCs w:val="32"/>
        </w:rPr>
      </w:pPr>
      <w:r>
        <w:rPr>
          <w:rFonts w:hint="eastAsia" w:ascii="仿宋" w:hAnsi="仿宋" w:eastAsia="仿宋"/>
          <w:szCs w:val="32"/>
        </w:rPr>
        <w:t>3.依法查处案件。在案件查处中，必须严格执行涉水法律法规的规定。对符合刑事追诉标准、涉嫌犯罪的水事违法行为，应当及时移送公安机关。11月</w:t>
      </w:r>
      <w:r>
        <w:rPr>
          <w:rFonts w:hint="eastAsia" w:ascii="仿宋" w:hAnsi="仿宋" w:eastAsia="仿宋"/>
          <w:szCs w:val="32"/>
          <w:lang w:val="en-US" w:eastAsia="zh-CN"/>
        </w:rPr>
        <w:t>28</w:t>
      </w:r>
      <w:r>
        <w:rPr>
          <w:rFonts w:hint="eastAsia" w:ascii="仿宋" w:hAnsi="仿宋" w:eastAsia="仿宋"/>
          <w:szCs w:val="32"/>
        </w:rPr>
        <w:t>日前，列入执法案件台账（见附件2）的全部案件结案率100%，挂牌督办案件结案率为100%。</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楷体" w:hAnsi="楷体" w:eastAsia="楷体" w:cs="楷体"/>
          <w:szCs w:val="32"/>
        </w:rPr>
      </w:pPr>
      <w:r>
        <w:rPr>
          <w:rFonts w:hint="eastAsia" w:ascii="楷体" w:hAnsi="楷体" w:eastAsia="楷体" w:cs="楷体"/>
          <w:szCs w:val="32"/>
        </w:rPr>
        <w:t>（四）监督检查阶段（2023年10月16日-11月15日）</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color w:val="auto"/>
        </w:rPr>
      </w:pPr>
      <w:r>
        <w:rPr>
          <w:rFonts w:hint="eastAsia" w:ascii="仿宋" w:hAnsi="仿宋" w:eastAsia="仿宋"/>
          <w:color w:val="auto"/>
          <w:szCs w:val="32"/>
          <w:lang w:val="en-US" w:eastAsia="zh-CN"/>
        </w:rPr>
        <w:t>水利局</w:t>
      </w:r>
      <w:r>
        <w:rPr>
          <w:rFonts w:hint="eastAsia" w:ascii="仿宋" w:hAnsi="仿宋" w:eastAsia="仿宋"/>
          <w:color w:val="auto"/>
          <w:szCs w:val="32"/>
        </w:rPr>
        <w:t>对专项行动开展情况进行监督指导，适时召开推进会，推动专项行动开展。要强化对违法案件查处整改落实情况的督促检查，确保水事违法问题整改落实到位。</w:t>
      </w:r>
      <w:r>
        <w:rPr>
          <w:rFonts w:hint="eastAsia" w:ascii="仿宋" w:hAnsi="仿宋" w:eastAsia="仿宋" w:cs="仿宋_GB2312"/>
          <w:color w:val="auto"/>
        </w:rPr>
        <w:t>对执法案件台账中20%的案件进行现场抽查复核，对省、市、县三级挂牌督办案件进行全方位复核。综合分析水行政执法存在的突出问题，形成问题清单，督促整改到位。</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楷体" w:hAnsi="楷体" w:eastAsia="楷体" w:cs="楷体"/>
          <w:szCs w:val="32"/>
        </w:rPr>
      </w:pPr>
      <w:r>
        <w:rPr>
          <w:rFonts w:hint="eastAsia" w:ascii="楷体" w:hAnsi="楷体" w:eastAsia="楷体" w:cs="楷体"/>
          <w:szCs w:val="32"/>
        </w:rPr>
        <w:t>（四）总结提升阶段(2023年11月16日至11月30日)</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仿宋" w:hAnsi="仿宋" w:eastAsia="仿宋"/>
          <w:color w:val="auto"/>
          <w:szCs w:val="32"/>
        </w:rPr>
      </w:pPr>
      <w:r>
        <w:rPr>
          <w:rFonts w:hint="eastAsia" w:ascii="仿宋" w:hAnsi="仿宋" w:eastAsia="仿宋"/>
          <w:color w:val="auto"/>
          <w:szCs w:val="32"/>
        </w:rPr>
        <w:t>202</w:t>
      </w:r>
      <w:r>
        <w:rPr>
          <w:rFonts w:hint="eastAsia" w:ascii="仿宋" w:hAnsi="仿宋" w:eastAsia="仿宋"/>
          <w:color w:val="auto"/>
          <w:szCs w:val="32"/>
          <w:lang w:val="en-US" w:eastAsia="zh-CN"/>
        </w:rPr>
        <w:t>3</w:t>
      </w:r>
      <w:r>
        <w:rPr>
          <w:rFonts w:hint="eastAsia" w:ascii="仿宋" w:hAnsi="仿宋" w:eastAsia="仿宋"/>
          <w:color w:val="auto"/>
          <w:szCs w:val="32"/>
        </w:rPr>
        <w:t>年11月30日前，完成专项执法行动验收和自评，形成专题报告报</w:t>
      </w:r>
      <w:r>
        <w:rPr>
          <w:rFonts w:hint="eastAsia" w:ascii="仿宋" w:hAnsi="仿宋" w:eastAsia="仿宋"/>
          <w:color w:val="auto"/>
          <w:szCs w:val="32"/>
          <w:lang w:val="en-US" w:eastAsia="zh-CN"/>
        </w:rPr>
        <w:t>平顶山</w:t>
      </w:r>
      <w:r>
        <w:rPr>
          <w:rFonts w:hint="eastAsia" w:ascii="仿宋" w:hAnsi="仿宋" w:eastAsia="仿宋"/>
          <w:color w:val="auto"/>
          <w:szCs w:val="32"/>
        </w:rPr>
        <w:t>市水利局。</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left"/>
        <w:rPr>
          <w:rFonts w:hint="eastAsia" w:ascii="黑体" w:hAnsi="黑体" w:eastAsia="黑体" w:cs="黑体"/>
          <w:szCs w:val="32"/>
        </w:rPr>
      </w:pPr>
      <w:r>
        <w:rPr>
          <w:rFonts w:hint="eastAsia" w:ascii="黑体" w:hAnsi="黑体" w:eastAsia="黑体" w:cs="黑体"/>
          <w:szCs w:val="32"/>
        </w:rPr>
        <w:t>五、保障措施</w:t>
      </w:r>
    </w:p>
    <w:p>
      <w:pPr>
        <w:keepNext w:val="0"/>
        <w:keepLines w:val="0"/>
        <w:pageBreakBefore w:val="0"/>
        <w:tabs>
          <w:tab w:val="left" w:pos="7360"/>
          <w:tab w:val="left" w:pos="7680"/>
        </w:tabs>
        <w:kinsoku/>
        <w:wordWrap/>
        <w:topLinePunct w:val="0"/>
        <w:autoSpaceDE/>
        <w:autoSpaceDN/>
        <w:bidi w:val="0"/>
        <w:adjustRightInd w:val="0"/>
        <w:spacing w:line="600" w:lineRule="exact"/>
        <w:ind w:firstLine="480" w:firstLineChars="150"/>
        <w:jc w:val="both"/>
        <w:rPr>
          <w:rFonts w:hint="eastAsia" w:ascii="仿宋" w:hAnsi="仿宋" w:eastAsia="仿宋"/>
          <w:szCs w:val="32"/>
        </w:rPr>
      </w:pPr>
      <w:r>
        <w:rPr>
          <w:rFonts w:hint="eastAsia" w:ascii="楷体" w:hAnsi="楷体" w:eastAsia="楷体" w:cs="楷体_GB2312"/>
          <w:szCs w:val="32"/>
        </w:rPr>
        <w:t>（一）加强组织领导</w:t>
      </w:r>
      <w:r>
        <w:rPr>
          <w:rFonts w:hint="eastAsia" w:ascii="仿宋" w:hAnsi="仿宋" w:eastAsia="仿宋" w:cs="楷体_GB2312"/>
          <w:szCs w:val="32"/>
        </w:rPr>
        <w:t>。</w:t>
      </w:r>
      <w:r>
        <w:rPr>
          <w:rFonts w:hint="eastAsia" w:ascii="仿宋" w:hAnsi="仿宋" w:eastAsia="仿宋"/>
          <w:szCs w:val="32"/>
        </w:rPr>
        <w:t>各有关</w:t>
      </w:r>
      <w:r>
        <w:rPr>
          <w:rFonts w:hint="eastAsia" w:ascii="仿宋" w:hAnsi="仿宋" w:eastAsia="仿宋"/>
          <w:szCs w:val="32"/>
          <w:lang w:val="en-US" w:eastAsia="zh-CN"/>
        </w:rPr>
        <w:t>科室及部门</w:t>
      </w:r>
      <w:r>
        <w:rPr>
          <w:rFonts w:hint="eastAsia" w:ascii="仿宋" w:hAnsi="仿宋" w:eastAsia="仿宋"/>
          <w:szCs w:val="32"/>
        </w:rPr>
        <w:t>要把</w:t>
      </w:r>
      <w:r>
        <w:rPr>
          <w:rFonts w:hint="eastAsia" w:ascii="仿宋" w:hAnsi="仿宋" w:eastAsia="仿宋" w:cs="仿宋_GB2312"/>
        </w:rPr>
        <w:t>河湖安全保护专项执法行动</w:t>
      </w:r>
      <w:r>
        <w:rPr>
          <w:rFonts w:hint="eastAsia" w:ascii="仿宋" w:hAnsi="仿宋" w:eastAsia="仿宋"/>
          <w:szCs w:val="32"/>
        </w:rPr>
        <w:t>，作为贯彻落实</w:t>
      </w:r>
      <w:r>
        <w:rPr>
          <w:rFonts w:hint="eastAsia" w:ascii="仿宋" w:hAnsi="仿宋" w:eastAsia="仿宋" w:cs="仿宋_GB2312"/>
        </w:rPr>
        <w:t>习近平总书记关于治水重要讲话</w:t>
      </w:r>
      <w:r>
        <w:rPr>
          <w:rFonts w:hint="eastAsia" w:ascii="仿宋" w:hAnsi="仿宋" w:eastAsia="仿宋" w:cs="仿宋_GB2312"/>
          <w:spacing w:val="6"/>
        </w:rPr>
        <w:t>指示批示精神和中央决策部署的重要举措</w:t>
      </w:r>
      <w:r>
        <w:rPr>
          <w:rFonts w:hint="eastAsia" w:ascii="仿宋" w:hAnsi="仿宋" w:eastAsia="仿宋"/>
          <w:szCs w:val="32"/>
        </w:rPr>
        <w:t>，作为推进中央生态环境保护督察整改、开展郑州</w:t>
      </w:r>
      <w:r>
        <w:rPr>
          <w:rFonts w:hint="eastAsia" w:ascii="仿宋" w:hAnsi="仿宋" w:eastAsia="仿宋"/>
          <w:spacing w:val="-6"/>
          <w:szCs w:val="32"/>
        </w:rPr>
        <w:t>“7.20”特大暴雨灾害追责问题案以案促改工作的重要体现，</w:t>
      </w:r>
      <w:r>
        <w:rPr>
          <w:rFonts w:hint="eastAsia" w:ascii="仿宋" w:hAnsi="仿宋" w:eastAsia="仿宋"/>
          <w:szCs w:val="32"/>
        </w:rPr>
        <w:t>切实加强组织领导，狠抓责任落实。</w:t>
      </w:r>
      <w:r>
        <w:rPr>
          <w:rFonts w:hint="eastAsia" w:ascii="仿宋" w:hAnsi="仿宋" w:eastAsia="仿宋"/>
          <w:spacing w:val="6"/>
          <w:szCs w:val="32"/>
        </w:rPr>
        <w:t>组织、参与专项执法的工作人员，</w:t>
      </w:r>
      <w:r>
        <w:rPr>
          <w:rFonts w:hint="eastAsia" w:ascii="仿宋" w:hAnsi="仿宋" w:eastAsia="仿宋"/>
          <w:szCs w:val="32"/>
        </w:rPr>
        <w:t>要坚持躬身入局，担当作为，确保专项执法行动落实落地见成效。</w:t>
      </w:r>
    </w:p>
    <w:p>
      <w:pPr>
        <w:keepNext w:val="0"/>
        <w:keepLines w:val="0"/>
        <w:pageBreakBefore w:val="0"/>
        <w:tabs>
          <w:tab w:val="left" w:pos="7360"/>
          <w:tab w:val="left" w:pos="7680"/>
        </w:tabs>
        <w:kinsoku/>
        <w:wordWrap/>
        <w:topLinePunct w:val="0"/>
        <w:autoSpaceDE/>
        <w:autoSpaceDN/>
        <w:bidi w:val="0"/>
        <w:adjustRightInd w:val="0"/>
        <w:spacing w:line="600" w:lineRule="exact"/>
        <w:ind w:firstLine="640" w:firstLineChars="200"/>
        <w:jc w:val="both"/>
        <w:rPr>
          <w:rFonts w:hint="eastAsia" w:ascii="仿宋" w:hAnsi="仿宋" w:eastAsia="仿宋"/>
          <w:szCs w:val="32"/>
        </w:rPr>
      </w:pPr>
      <w:r>
        <w:rPr>
          <w:rFonts w:hint="eastAsia" w:ascii="楷体" w:hAnsi="楷体" w:eastAsia="楷体" w:cs="楷体_GB2312"/>
          <w:szCs w:val="32"/>
        </w:rPr>
        <w:t>（二）加强协调配合。</w:t>
      </w:r>
      <w:r>
        <w:rPr>
          <w:rFonts w:hint="eastAsia" w:ascii="仿宋" w:eastAsia="仿宋"/>
          <w:szCs w:val="32"/>
        </w:rPr>
        <w:t> </w:t>
      </w:r>
      <w:r>
        <w:rPr>
          <w:rFonts w:hint="eastAsia" w:ascii="仿宋" w:hAnsi="仿宋" w:eastAsia="仿宋"/>
          <w:szCs w:val="32"/>
        </w:rPr>
        <w:t>各有关</w:t>
      </w:r>
      <w:r>
        <w:rPr>
          <w:rFonts w:hint="eastAsia" w:ascii="仿宋" w:hAnsi="仿宋" w:eastAsia="仿宋"/>
          <w:szCs w:val="32"/>
          <w:lang w:val="en-US" w:eastAsia="zh-CN"/>
        </w:rPr>
        <w:t>科室及部门</w:t>
      </w:r>
      <w:r>
        <w:rPr>
          <w:rFonts w:hint="eastAsia" w:ascii="仿宋" w:hAnsi="仿宋" w:eastAsia="仿宋"/>
          <w:szCs w:val="32"/>
        </w:rPr>
        <w:t>要明确分工，密切配合，协调联动，动员广大干部群众和行政相对人配合专项执法行动，共同保障专项执法行动的顺利开展。水利与审判机关、检察机关、公安机关、司法机关等部门加强沟通协调，完善联席会议和信息共享机制，依法打击阻碍执行职务和妨害公务的违法犯罪人员。</w:t>
      </w:r>
    </w:p>
    <w:p>
      <w:pPr>
        <w:keepNext w:val="0"/>
        <w:keepLines w:val="0"/>
        <w:pageBreakBefore w:val="0"/>
        <w:tabs>
          <w:tab w:val="left" w:pos="7360"/>
          <w:tab w:val="left" w:pos="7680"/>
        </w:tabs>
        <w:kinsoku/>
        <w:wordWrap/>
        <w:topLinePunct w:val="0"/>
        <w:autoSpaceDE/>
        <w:autoSpaceDN/>
        <w:bidi w:val="0"/>
        <w:adjustRightInd w:val="0"/>
        <w:spacing w:line="600" w:lineRule="exact"/>
        <w:ind w:firstLine="480" w:firstLineChars="150"/>
        <w:jc w:val="both"/>
        <w:rPr>
          <w:rFonts w:hint="eastAsia" w:ascii="仿宋" w:hAnsi="仿宋" w:eastAsia="仿宋"/>
          <w:color w:val="auto"/>
          <w:szCs w:val="32"/>
        </w:rPr>
      </w:pPr>
      <w:r>
        <w:rPr>
          <w:rFonts w:hint="eastAsia" w:ascii="楷体" w:hAnsi="楷体" w:eastAsia="楷体" w:cs="楷体"/>
          <w:szCs w:val="32"/>
        </w:rPr>
        <w:t>（三）加强监督检查。</w:t>
      </w:r>
      <w:r>
        <w:rPr>
          <w:rFonts w:hint="eastAsia" w:ascii="仿宋" w:hAnsi="仿宋" w:eastAsia="仿宋"/>
          <w:szCs w:val="32"/>
        </w:rPr>
        <w:t>专项执法行动时间紧、任务重、要求高、难度大，河湖安全保护专项执法行动</w:t>
      </w:r>
      <w:r>
        <w:rPr>
          <w:rFonts w:hint="eastAsia" w:ascii="仿宋" w:hAnsi="仿宋" w:eastAsia="仿宋"/>
          <w:szCs w:val="32"/>
          <w:lang w:val="en-US" w:eastAsia="zh-CN"/>
        </w:rPr>
        <w:t>领导小组要</w:t>
      </w:r>
      <w:r>
        <w:rPr>
          <w:rFonts w:hint="eastAsia" w:ascii="仿宋" w:hAnsi="仿宋" w:eastAsia="仿宋"/>
          <w:szCs w:val="32"/>
        </w:rPr>
        <w:t>加强监督指导，对重大案件要跟踪指导、挂牌督办。</w:t>
      </w:r>
      <w:r>
        <w:rPr>
          <w:rFonts w:hint="eastAsia" w:ascii="仿宋" w:hAnsi="仿宋" w:eastAsia="仿宋" w:cs="仿宋_GB2312"/>
        </w:rPr>
        <w:t>对需要依法申请人民法院强制执行的，要及时通报同级法院；对执法后不足以弥补国家利益或者社会公共利益损失的问题线索，要及时移送同级检察机关；</w:t>
      </w:r>
      <w:r>
        <w:rPr>
          <w:rFonts w:hint="eastAsia" w:ascii="仿宋" w:hAnsi="仿宋" w:eastAsia="仿宋"/>
          <w:szCs w:val="32"/>
        </w:rPr>
        <w:t>对拒不执法、限期不整改的</w:t>
      </w:r>
      <w:r>
        <w:rPr>
          <w:rFonts w:hint="eastAsia" w:ascii="仿宋" w:hAnsi="仿宋" w:eastAsia="仿宋"/>
          <w:spacing w:val="-6"/>
          <w:szCs w:val="32"/>
        </w:rPr>
        <w:t>单位和个人，依法处理，对涉嫌犯罪的及时移交公安机关；</w:t>
      </w:r>
      <w:r>
        <w:rPr>
          <w:rFonts w:hint="eastAsia" w:ascii="仿宋" w:hAnsi="仿宋" w:eastAsia="仿宋"/>
          <w:szCs w:val="32"/>
        </w:rPr>
        <w:t>采取一月一通报，一阶段一通报的方式，</w:t>
      </w:r>
      <w:r>
        <w:rPr>
          <w:rFonts w:hint="eastAsia" w:ascii="仿宋" w:hAnsi="仿宋" w:eastAsia="仿宋"/>
          <w:color w:val="auto"/>
          <w:szCs w:val="32"/>
        </w:rPr>
        <w:t>适时召开推进会，推动专项行动开展，对专项执法行动中失职、渎职、不作为、慢作为、弄虚作假</w:t>
      </w:r>
      <w:r>
        <w:rPr>
          <w:rFonts w:hint="eastAsia" w:ascii="仿宋" w:hAnsi="仿宋" w:eastAsia="仿宋"/>
          <w:szCs w:val="32"/>
        </w:rPr>
        <w:t>的，采取通报、约谈等措施责令整改，问题严重的，依法依纪追责问责。</w:t>
      </w:r>
      <w:r>
        <w:rPr>
          <w:rFonts w:hint="eastAsia" w:ascii="仿宋" w:hAnsi="仿宋" w:eastAsia="仿宋"/>
          <w:color w:val="auto"/>
          <w:szCs w:val="32"/>
        </w:rPr>
        <w:t>专</w:t>
      </w:r>
      <w:r>
        <w:rPr>
          <w:rFonts w:hint="eastAsia" w:ascii="仿宋" w:hAnsi="仿宋" w:eastAsia="仿宋"/>
          <w:color w:val="auto"/>
          <w:spacing w:val="-6"/>
          <w:szCs w:val="32"/>
        </w:rPr>
        <w:t>项行动开展情况将纳入年度</w:t>
      </w:r>
      <w:r>
        <w:rPr>
          <w:rFonts w:hint="eastAsia" w:ascii="仿宋" w:hAnsi="仿宋" w:eastAsia="仿宋"/>
          <w:color w:val="auto"/>
          <w:spacing w:val="-6"/>
          <w:szCs w:val="32"/>
          <w:lang w:val="en-US" w:eastAsia="zh-CN"/>
        </w:rPr>
        <w:t>目标考核</w:t>
      </w:r>
      <w:r>
        <w:rPr>
          <w:rFonts w:hint="eastAsia" w:ascii="仿宋" w:hAnsi="仿宋" w:eastAsia="仿宋"/>
          <w:color w:val="auto"/>
          <w:spacing w:val="-6"/>
          <w:szCs w:val="32"/>
        </w:rPr>
        <w:t>，</w:t>
      </w:r>
      <w:r>
        <w:rPr>
          <w:rFonts w:hint="eastAsia" w:ascii="仿宋" w:hAnsi="仿宋" w:eastAsia="仿宋"/>
          <w:color w:val="auto"/>
          <w:szCs w:val="32"/>
        </w:rPr>
        <w:t>对在专项执法行动中做出突出成绩的单位和个人进行通报表扬。</w:t>
      </w:r>
    </w:p>
    <w:p>
      <w:pPr>
        <w:keepNext w:val="0"/>
        <w:keepLines w:val="0"/>
        <w:pageBreakBefore w:val="0"/>
        <w:tabs>
          <w:tab w:val="left" w:pos="6952"/>
        </w:tabs>
        <w:kinsoku/>
        <w:wordWrap/>
        <w:topLinePunct w:val="0"/>
        <w:autoSpaceDE/>
        <w:autoSpaceDN/>
        <w:bidi w:val="0"/>
        <w:adjustRightInd w:val="0"/>
        <w:spacing w:line="600" w:lineRule="exact"/>
        <w:ind w:firstLine="480" w:firstLineChars="150"/>
        <w:rPr>
          <w:rFonts w:hint="eastAsia" w:ascii="仿宋" w:hAnsi="仿宋" w:eastAsia="仿宋" w:cs="仿宋_GB2312"/>
        </w:rPr>
      </w:pPr>
      <w:r>
        <w:rPr>
          <w:rFonts w:hint="eastAsia" w:ascii="楷体" w:hAnsi="楷体" w:eastAsia="楷体" w:cs="楷体_GB2312"/>
        </w:rPr>
        <w:t>（四）加强信息报送。</w:t>
      </w:r>
      <w:r>
        <w:rPr>
          <w:rFonts w:hint="eastAsia" w:ascii="仿宋" w:hAnsi="仿宋" w:eastAsia="仿宋" w:cs="仿宋_GB2312"/>
        </w:rPr>
        <w:t>自2023年6月起，各</w:t>
      </w:r>
      <w:r>
        <w:rPr>
          <w:rFonts w:hint="eastAsia" w:ascii="仿宋" w:hAnsi="仿宋" w:eastAsia="仿宋" w:cs="仿宋_GB2312"/>
          <w:lang w:val="en-US" w:eastAsia="zh-CN"/>
        </w:rPr>
        <w:t>牵头科室及单位</w:t>
      </w:r>
      <w:r>
        <w:rPr>
          <w:rFonts w:hint="eastAsia" w:ascii="仿宋" w:hAnsi="仿宋" w:eastAsia="仿宋" w:cs="仿宋_GB2312"/>
        </w:rPr>
        <w:t>要在每月月底前，</w:t>
      </w:r>
      <w:r>
        <w:rPr>
          <w:rFonts w:hint="eastAsia" w:ascii="仿宋" w:hAnsi="仿宋" w:eastAsia="仿宋" w:cs="仿宋_GB2312"/>
          <w:lang w:val="en-US" w:eastAsia="zh-CN"/>
        </w:rPr>
        <w:t>将工作</w:t>
      </w:r>
      <w:r>
        <w:rPr>
          <w:rFonts w:hint="eastAsia" w:ascii="仿宋" w:hAnsi="仿宋" w:eastAsia="仿宋" w:cs="仿宋_GB2312"/>
        </w:rPr>
        <w:t>完成</w:t>
      </w:r>
      <w:r>
        <w:rPr>
          <w:rFonts w:hint="eastAsia" w:ascii="仿宋" w:hAnsi="仿宋" w:eastAsia="仿宋" w:cs="仿宋_GB2312"/>
          <w:lang w:val="en-US" w:eastAsia="zh-CN"/>
        </w:rPr>
        <w:t>情况及</w:t>
      </w:r>
      <w:r>
        <w:rPr>
          <w:rFonts w:hint="eastAsia" w:ascii="仿宋" w:hAnsi="仿宋" w:eastAsia="仿宋" w:cs="仿宋_GB2312"/>
        </w:rPr>
        <w:t>报</w:t>
      </w:r>
      <w:r>
        <w:rPr>
          <w:rFonts w:hint="eastAsia" w:ascii="仿宋" w:hAnsi="仿宋" w:eastAsia="仿宋" w:cs="仿宋_GB2312"/>
          <w:lang w:val="en-US" w:eastAsia="zh-CN"/>
        </w:rPr>
        <w:t>送水政监察大队</w:t>
      </w:r>
      <w:r>
        <w:rPr>
          <w:rFonts w:hint="eastAsia" w:ascii="仿宋" w:hAnsi="仿宋" w:eastAsia="仿宋" w:cs="仿宋_GB2312"/>
        </w:rPr>
        <w:t>。</w:t>
      </w:r>
    </w:p>
    <w:p>
      <w:pPr>
        <w:keepNext w:val="0"/>
        <w:keepLines w:val="0"/>
        <w:pageBreakBefore w:val="0"/>
        <w:tabs>
          <w:tab w:val="left" w:pos="6952"/>
        </w:tabs>
        <w:kinsoku/>
        <w:wordWrap/>
        <w:topLinePunct w:val="0"/>
        <w:autoSpaceDE/>
        <w:autoSpaceDN/>
        <w:bidi w:val="0"/>
        <w:adjustRightInd w:val="0"/>
        <w:spacing w:line="600" w:lineRule="exact"/>
        <w:ind w:firstLine="480" w:firstLineChars="150"/>
        <w:rPr>
          <w:rFonts w:hint="eastAsia" w:ascii="仿宋" w:hAnsi="仿宋" w:eastAsia="仿宋" w:cs="仿宋_GB2312"/>
        </w:rPr>
      </w:pPr>
      <w:r>
        <w:rPr>
          <w:rFonts w:hint="eastAsia" w:ascii="楷体" w:hAnsi="楷体" w:eastAsia="楷体" w:cs="楷体_GB2312"/>
        </w:rPr>
        <w:t>（五）强化工作宣传</w:t>
      </w:r>
      <w:r>
        <w:rPr>
          <w:rFonts w:hint="eastAsia" w:ascii="楷体" w:hAnsi="楷体" w:eastAsia="楷体" w:cs="楷体_GB2312"/>
          <w:color w:val="auto"/>
        </w:rPr>
        <w:t>。</w:t>
      </w:r>
      <w:r>
        <w:rPr>
          <w:rFonts w:hint="eastAsia" w:ascii="仿宋" w:hAnsi="仿宋" w:eastAsia="仿宋" w:cs="仿宋_GB2312"/>
          <w:lang w:val="en-US" w:eastAsia="zh-CN"/>
        </w:rPr>
        <w:t>充分</w:t>
      </w:r>
      <w:r>
        <w:rPr>
          <w:rFonts w:hint="eastAsia" w:ascii="仿宋" w:hAnsi="仿宋" w:eastAsia="仿宋" w:cs="仿宋_GB2312"/>
        </w:rPr>
        <w:t>利用媒体平台，加大宣传力度，广泛宣传开展河湖安全保护的重要意义，把水利部门与各部门协作的重要意义和专项执法行动的工作成效以及典型案例作为宣传工作的亮点，扩大专项行动效果。</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联 系 人：</w:t>
      </w:r>
      <w:r>
        <w:rPr>
          <w:rFonts w:hint="eastAsia" w:ascii="仿宋" w:hAnsi="仿宋" w:eastAsia="仿宋" w:cs="仿宋_GB2312"/>
          <w:lang w:val="en-US" w:eastAsia="zh-CN"/>
        </w:rPr>
        <w:t>杨跃朋</w:t>
      </w:r>
      <w:r>
        <w:rPr>
          <w:rFonts w:hint="eastAsia" w:ascii="仿宋" w:hAnsi="仿宋" w:eastAsia="仿宋" w:cs="仿宋_GB2312"/>
        </w:rPr>
        <w:t xml:space="preserve"> </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lang w:val="en-US" w:eastAsia="zh-CN"/>
        </w:rPr>
      </w:pPr>
      <w:r>
        <w:rPr>
          <w:rFonts w:hint="eastAsia" w:ascii="仿宋" w:hAnsi="仿宋" w:eastAsia="仿宋" w:cs="仿宋_GB2312"/>
        </w:rPr>
        <w:t>联系电话：</w:t>
      </w:r>
      <w:r>
        <w:rPr>
          <w:rFonts w:hint="eastAsia" w:ascii="仿宋" w:hAnsi="仿宋" w:eastAsia="仿宋" w:cs="仿宋_GB2312"/>
          <w:lang w:val="en-US" w:eastAsia="zh-CN"/>
        </w:rPr>
        <w:t>0375-6866887</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default" w:ascii="仿宋" w:hAnsi="仿宋" w:eastAsia="仿宋" w:cs="仿宋_GB2312"/>
          <w:lang w:val="en-US" w:eastAsia="zh-CN"/>
        </w:rPr>
      </w:pPr>
      <w:r>
        <w:rPr>
          <w:rFonts w:hint="eastAsia" w:ascii="仿宋" w:hAnsi="仿宋" w:eastAsia="仿宋" w:cs="仿宋_GB2312"/>
        </w:rPr>
        <w:t>电子邮箱：</w:t>
      </w:r>
      <w:r>
        <w:rPr>
          <w:rFonts w:hint="eastAsia" w:ascii="仿宋" w:hAnsi="仿宋" w:eastAsia="仿宋" w:cs="仿宋_GB2312"/>
          <w:lang w:val="en-US" w:eastAsia="zh-CN"/>
        </w:rPr>
        <w:t>rzszjcdd@163.com</w:t>
      </w:r>
    </w:p>
    <w:p>
      <w:pPr>
        <w:pStyle w:val="8"/>
        <w:keepNext w:val="0"/>
        <w:keepLines w:val="0"/>
        <w:pageBreakBefore w:val="0"/>
        <w:kinsoku/>
        <w:wordWrap/>
        <w:topLinePunct w:val="0"/>
        <w:autoSpaceDE/>
        <w:autoSpaceDN/>
        <w:bidi w:val="0"/>
        <w:spacing w:after="0" w:line="600" w:lineRule="exact"/>
        <w:rPr>
          <w:rFonts w:hint="eastAsia"/>
        </w:rPr>
      </w:pP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附件：1.问题线索台账</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 xml:space="preserve">      2.执法案件台账</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 xml:space="preserve">      3.挂牌督办案件台账</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 xml:space="preserve">      4.工作总结（模板）</w:t>
      </w: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 w:hAnsi="仿宋" w:eastAsia="仿宋" w:cs="仿宋_GB2312"/>
        </w:rPr>
      </w:pPr>
      <w:r>
        <w:rPr>
          <w:rFonts w:hint="eastAsia" w:ascii="仿宋" w:hAnsi="仿宋" w:eastAsia="仿宋" w:cs="仿宋_GB2312"/>
        </w:rPr>
        <w:t xml:space="preserve">      5.执法协作典型案例（模板）</w:t>
      </w:r>
    </w:p>
    <w:p>
      <w:pPr>
        <w:keepNext w:val="0"/>
        <w:keepLines w:val="0"/>
        <w:pageBreakBefore w:val="0"/>
        <w:tabs>
          <w:tab w:val="left" w:pos="6952"/>
        </w:tabs>
        <w:kinsoku/>
        <w:wordWrap/>
        <w:topLinePunct w:val="0"/>
        <w:autoSpaceDE/>
        <w:autoSpaceDN/>
        <w:bidi w:val="0"/>
        <w:adjustRightInd w:val="0"/>
        <w:spacing w:line="600" w:lineRule="exact"/>
        <w:rPr>
          <w:rFonts w:hint="eastAsia" w:ascii="仿宋_GB2312" w:hAnsi="仿宋_GB2312" w:cs="仿宋_GB2312"/>
        </w:rPr>
      </w:pPr>
    </w:p>
    <w:p>
      <w:pPr>
        <w:keepNext w:val="0"/>
        <w:keepLines w:val="0"/>
        <w:pageBreakBefore w:val="0"/>
        <w:tabs>
          <w:tab w:val="left" w:pos="6952"/>
        </w:tabs>
        <w:kinsoku/>
        <w:wordWrap/>
        <w:topLinePunct w:val="0"/>
        <w:autoSpaceDE/>
        <w:autoSpaceDN/>
        <w:bidi w:val="0"/>
        <w:adjustRightInd w:val="0"/>
        <w:spacing w:line="600" w:lineRule="exact"/>
        <w:ind w:firstLine="640" w:firstLineChars="200"/>
        <w:rPr>
          <w:rFonts w:hint="eastAsia" w:ascii="仿宋_GB2312" w:hAnsi="仿宋_GB2312" w:cs="仿宋_GB2312"/>
        </w:rPr>
        <w:sectPr>
          <w:footerReference r:id="rId3" w:type="default"/>
          <w:pgSz w:w="11906" w:h="16838"/>
          <w:pgMar w:top="1814" w:right="1474" w:bottom="1701" w:left="1474" w:header="851" w:footer="1417" w:gutter="0"/>
          <w:cols w:space="720" w:num="1"/>
          <w:docGrid w:type="lines" w:linePitch="603" w:charSpace="0"/>
        </w:sectPr>
      </w:pPr>
    </w:p>
    <w:p>
      <w:pPr>
        <w:tabs>
          <w:tab w:val="left" w:pos="6952"/>
        </w:tabs>
        <w:adjustRightInd w:val="0"/>
        <w:spacing w:line="600" w:lineRule="exact"/>
        <w:rPr>
          <w:rFonts w:hint="eastAsia" w:ascii="黑体" w:hAnsi="黑体" w:eastAsia="黑体" w:cs="黑体"/>
        </w:rPr>
      </w:pPr>
      <w:r>
        <w:rPr>
          <w:rFonts w:hint="eastAsia" w:ascii="黑体" w:hAnsi="黑体" w:eastAsia="黑体" w:cs="黑体"/>
        </w:rPr>
        <w:t>附件1</w:t>
      </w:r>
    </w:p>
    <w:p>
      <w:pPr>
        <w:tabs>
          <w:tab w:val="left" w:pos="6952"/>
        </w:tabs>
        <w:adjustRightInd w:val="0"/>
        <w:spacing w:line="300" w:lineRule="exact"/>
        <w:jc w:val="center"/>
        <w:rPr>
          <w:rFonts w:hint="eastAsia" w:ascii="方正小标宋简体" w:hAnsi="方正小标宋简体" w:eastAsia="方正小标宋简体" w:cs="方正小标宋简体"/>
          <w:sz w:val="40"/>
          <w:szCs w:val="40"/>
        </w:rPr>
      </w:pPr>
    </w:p>
    <w:p>
      <w:pPr>
        <w:tabs>
          <w:tab w:val="left" w:pos="6952"/>
        </w:tabs>
        <w:adjustRightInd w:val="0"/>
        <w:spacing w:line="60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问题线索台账</w:t>
      </w:r>
    </w:p>
    <w:p>
      <w:pPr>
        <w:tabs>
          <w:tab w:val="left" w:pos="6952"/>
        </w:tabs>
        <w:adjustRightInd w:val="0"/>
        <w:spacing w:line="300" w:lineRule="exact"/>
        <w:jc w:val="center"/>
        <w:rPr>
          <w:rFonts w:hint="eastAsia" w:ascii="方正小标宋简体" w:hAnsi="方正小标宋简体" w:eastAsia="方正小标宋简体" w:cs="方正小标宋简体"/>
          <w:sz w:val="40"/>
          <w:szCs w:val="40"/>
        </w:rPr>
      </w:pPr>
    </w:p>
    <w:p>
      <w:pPr>
        <w:rPr>
          <w:rFonts w:hint="eastAsia" w:ascii="楷体_GB2312" w:hAnsi="楷体_GB2312" w:eastAsia="楷体_GB2312" w:cs="楷体_GB2312"/>
          <w:sz w:val="24"/>
          <w:u w:val="single"/>
        </w:rPr>
      </w:pPr>
      <w:r>
        <w:rPr>
          <w:rFonts w:hint="eastAsia" w:ascii="宋体" w:hAnsi="宋体" w:eastAsia="宋体" w:cs="宋体"/>
          <w:sz w:val="21"/>
          <w:szCs w:val="21"/>
        </w:rPr>
        <w:t>单位名称：</w:t>
      </w:r>
      <w:r>
        <w:rPr>
          <w:rFonts w:hint="eastAsia" w:ascii="楷体_GB2312" w:hAnsi="楷体_GB2312" w:eastAsia="楷体_GB2312" w:cs="楷体_GB2312"/>
          <w:sz w:val="24"/>
          <w:u w:val="single"/>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411"/>
        <w:gridCol w:w="2284"/>
        <w:gridCol w:w="1440"/>
        <w:gridCol w:w="1455"/>
        <w:gridCol w:w="1275"/>
        <w:gridCol w:w="2430"/>
        <w:gridCol w:w="2610"/>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3" w:hRule="atLeast"/>
          <w:jc w:val="center"/>
        </w:trPr>
        <w:tc>
          <w:tcPr>
            <w:tcW w:w="1411" w:type="dxa"/>
            <w:noWrap w:val="0"/>
            <w:vAlign w:val="center"/>
          </w:tcPr>
          <w:p>
            <w:pPr>
              <w:adjustRightIn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序号</w:t>
            </w:r>
          </w:p>
        </w:tc>
        <w:tc>
          <w:tcPr>
            <w:tcW w:w="2284" w:type="dxa"/>
            <w:noWrap w:val="0"/>
            <w:vAlign w:val="center"/>
          </w:tcPr>
          <w:p>
            <w:pPr>
              <w:adjustRightIn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问题线索来源</w:t>
            </w:r>
          </w:p>
        </w:tc>
        <w:tc>
          <w:tcPr>
            <w:tcW w:w="1440" w:type="dxa"/>
            <w:noWrap w:val="0"/>
            <w:vAlign w:val="center"/>
          </w:tcPr>
          <w:p>
            <w:pPr>
              <w:adjustRightIn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发现（举报、</w:t>
            </w:r>
          </w:p>
          <w:p>
            <w:pPr>
              <w:adjustRightIn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移送）时间</w:t>
            </w:r>
          </w:p>
        </w:tc>
        <w:tc>
          <w:tcPr>
            <w:tcW w:w="1455" w:type="dxa"/>
            <w:noWrap w:val="0"/>
            <w:vAlign w:val="center"/>
          </w:tcPr>
          <w:p>
            <w:pPr>
              <w:adjustRightIn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问题或线索</w:t>
            </w:r>
          </w:p>
          <w:p>
            <w:pPr>
              <w:adjustRightInd w:val="0"/>
              <w:spacing w:line="300" w:lineRule="exact"/>
              <w:jc w:val="center"/>
              <w:rPr>
                <w:rFonts w:ascii="黑体" w:hAnsi="黑体" w:eastAsia="黑体" w:cs="黑体"/>
                <w:sz w:val="21"/>
                <w:szCs w:val="21"/>
              </w:rPr>
            </w:pPr>
            <w:r>
              <w:rPr>
                <w:rFonts w:hint="eastAsia" w:ascii="黑体" w:hAnsi="黑体" w:eastAsia="黑体" w:cs="黑体"/>
                <w:sz w:val="21"/>
                <w:szCs w:val="21"/>
              </w:rPr>
              <w:t>基本情况</w:t>
            </w:r>
          </w:p>
        </w:tc>
        <w:tc>
          <w:tcPr>
            <w:tcW w:w="1275" w:type="dxa"/>
            <w:noWrap w:val="0"/>
            <w:vAlign w:val="center"/>
          </w:tcPr>
          <w:p>
            <w:pPr>
              <w:adjustRightInd w:val="0"/>
              <w:spacing w:line="300" w:lineRule="exact"/>
              <w:jc w:val="center"/>
              <w:rPr>
                <w:rFonts w:ascii="黑体" w:hAnsi="黑体" w:eastAsia="黑体" w:cs="黑体"/>
                <w:sz w:val="21"/>
                <w:szCs w:val="21"/>
              </w:rPr>
            </w:pPr>
            <w:r>
              <w:rPr>
                <w:rFonts w:hint="eastAsia" w:ascii="黑体" w:hAnsi="黑体" w:eastAsia="黑体" w:cs="黑体"/>
                <w:sz w:val="21"/>
                <w:szCs w:val="21"/>
              </w:rPr>
              <w:t>违法（被举报）主体</w:t>
            </w:r>
          </w:p>
        </w:tc>
        <w:tc>
          <w:tcPr>
            <w:tcW w:w="2430" w:type="dxa"/>
            <w:noWrap w:val="0"/>
            <w:vAlign w:val="center"/>
          </w:tcPr>
          <w:p>
            <w:pPr>
              <w:adjustRightInd w:val="0"/>
              <w:spacing w:line="300" w:lineRule="exact"/>
              <w:jc w:val="center"/>
              <w:rPr>
                <w:rFonts w:ascii="黑体" w:hAnsi="黑体" w:eastAsia="黑体" w:cs="黑体"/>
                <w:sz w:val="21"/>
                <w:szCs w:val="21"/>
              </w:rPr>
            </w:pPr>
            <w:r>
              <w:rPr>
                <w:rFonts w:hint="eastAsia" w:ascii="黑体" w:hAnsi="黑体" w:eastAsia="黑体" w:cs="黑体"/>
                <w:sz w:val="21"/>
                <w:szCs w:val="21"/>
              </w:rPr>
              <w:t>工作进展情况</w:t>
            </w:r>
          </w:p>
        </w:tc>
        <w:tc>
          <w:tcPr>
            <w:tcW w:w="2610" w:type="dxa"/>
            <w:noWrap w:val="0"/>
            <w:vAlign w:val="center"/>
          </w:tcPr>
          <w:p>
            <w:pPr>
              <w:adjustRightIn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线索处理情况</w:t>
            </w:r>
          </w:p>
        </w:tc>
        <w:tc>
          <w:tcPr>
            <w:tcW w:w="1068" w:type="dxa"/>
            <w:noWrap w:val="0"/>
            <w:vAlign w:val="center"/>
          </w:tcPr>
          <w:p>
            <w:pPr>
              <w:adjustRightInd w:val="0"/>
              <w:spacing w:line="300" w:lineRule="exact"/>
              <w:jc w:val="center"/>
              <w:rPr>
                <w:rFonts w:hint="eastAsia" w:ascii="黑体" w:hAnsi="黑体" w:eastAsia="黑体" w:cs="黑体"/>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43" w:hRule="atLeast"/>
          <w:jc w:val="center"/>
        </w:trPr>
        <w:tc>
          <w:tcPr>
            <w:tcW w:w="1411" w:type="dxa"/>
            <w:noWrap w:val="0"/>
            <w:vAlign w:val="center"/>
          </w:tcPr>
          <w:p>
            <w:pPr>
              <w:adjustRightInd w:val="0"/>
              <w:spacing w:line="300" w:lineRule="exact"/>
              <w:jc w:val="center"/>
              <w:rPr>
                <w:rFonts w:eastAsia="宋体"/>
                <w:sz w:val="21"/>
                <w:szCs w:val="21"/>
              </w:rPr>
            </w:pPr>
          </w:p>
        </w:tc>
        <w:tc>
          <w:tcPr>
            <w:tcW w:w="2284" w:type="dxa"/>
            <w:noWrap w:val="0"/>
            <w:vAlign w:val="center"/>
          </w:tcPr>
          <w:p>
            <w:pPr>
              <w:adjustRightInd w:val="0"/>
              <w:spacing w:line="300" w:lineRule="exact"/>
              <w:jc w:val="center"/>
              <w:rPr>
                <w:rFonts w:eastAsia="宋体"/>
                <w:sz w:val="21"/>
                <w:szCs w:val="21"/>
              </w:rPr>
            </w:pPr>
            <w:r>
              <w:rPr>
                <w:rFonts w:eastAsia="宋体"/>
                <w:sz w:val="21"/>
                <w:szCs w:val="21"/>
              </w:rPr>
              <w:t>（1）</w:t>
            </w:r>
          </w:p>
        </w:tc>
        <w:tc>
          <w:tcPr>
            <w:tcW w:w="1440" w:type="dxa"/>
            <w:noWrap w:val="0"/>
            <w:vAlign w:val="center"/>
          </w:tcPr>
          <w:p>
            <w:pPr>
              <w:adjustRightInd w:val="0"/>
              <w:spacing w:line="300" w:lineRule="exact"/>
              <w:jc w:val="center"/>
              <w:rPr>
                <w:rFonts w:eastAsia="宋体"/>
                <w:sz w:val="21"/>
                <w:szCs w:val="21"/>
              </w:rPr>
            </w:pPr>
            <w:r>
              <w:rPr>
                <w:rFonts w:eastAsia="宋体"/>
                <w:sz w:val="21"/>
                <w:szCs w:val="21"/>
              </w:rPr>
              <w:t>（2）</w:t>
            </w:r>
          </w:p>
        </w:tc>
        <w:tc>
          <w:tcPr>
            <w:tcW w:w="1455" w:type="dxa"/>
            <w:noWrap w:val="0"/>
            <w:vAlign w:val="center"/>
          </w:tcPr>
          <w:p>
            <w:pPr>
              <w:adjustRightInd w:val="0"/>
              <w:spacing w:line="300" w:lineRule="exact"/>
              <w:jc w:val="center"/>
              <w:rPr>
                <w:rFonts w:eastAsia="宋体"/>
                <w:sz w:val="21"/>
                <w:szCs w:val="21"/>
              </w:rPr>
            </w:pPr>
            <w:r>
              <w:rPr>
                <w:rFonts w:eastAsia="宋体"/>
                <w:sz w:val="21"/>
                <w:szCs w:val="21"/>
              </w:rPr>
              <w:t>（3）</w:t>
            </w:r>
          </w:p>
        </w:tc>
        <w:tc>
          <w:tcPr>
            <w:tcW w:w="1275" w:type="dxa"/>
            <w:noWrap w:val="0"/>
            <w:vAlign w:val="center"/>
          </w:tcPr>
          <w:p>
            <w:pPr>
              <w:adjustRightInd w:val="0"/>
              <w:spacing w:line="300" w:lineRule="exact"/>
              <w:jc w:val="center"/>
              <w:rPr>
                <w:rFonts w:eastAsia="宋体"/>
                <w:sz w:val="21"/>
                <w:szCs w:val="21"/>
              </w:rPr>
            </w:pPr>
            <w:r>
              <w:rPr>
                <w:rFonts w:eastAsia="宋体"/>
                <w:sz w:val="21"/>
                <w:szCs w:val="21"/>
              </w:rPr>
              <w:t>（4）</w:t>
            </w:r>
          </w:p>
        </w:tc>
        <w:tc>
          <w:tcPr>
            <w:tcW w:w="2430" w:type="dxa"/>
            <w:noWrap w:val="0"/>
            <w:vAlign w:val="center"/>
          </w:tcPr>
          <w:p>
            <w:pPr>
              <w:adjustRightInd w:val="0"/>
              <w:spacing w:line="300" w:lineRule="exact"/>
              <w:jc w:val="center"/>
              <w:rPr>
                <w:rFonts w:eastAsia="宋体"/>
                <w:sz w:val="21"/>
                <w:szCs w:val="21"/>
              </w:rPr>
            </w:pPr>
            <w:r>
              <w:rPr>
                <w:rFonts w:eastAsia="宋体"/>
                <w:sz w:val="21"/>
                <w:szCs w:val="21"/>
              </w:rPr>
              <w:t>（5）</w:t>
            </w:r>
          </w:p>
        </w:tc>
        <w:tc>
          <w:tcPr>
            <w:tcW w:w="2610" w:type="dxa"/>
            <w:noWrap w:val="0"/>
            <w:vAlign w:val="center"/>
          </w:tcPr>
          <w:p>
            <w:pPr>
              <w:adjustRightInd w:val="0"/>
              <w:spacing w:line="300" w:lineRule="exact"/>
              <w:jc w:val="center"/>
              <w:rPr>
                <w:rFonts w:eastAsia="宋体"/>
                <w:sz w:val="21"/>
                <w:szCs w:val="21"/>
              </w:rPr>
            </w:pPr>
            <w:r>
              <w:rPr>
                <w:rFonts w:eastAsia="宋体"/>
                <w:sz w:val="21"/>
                <w:szCs w:val="21"/>
              </w:rPr>
              <w:t>（6）</w:t>
            </w:r>
          </w:p>
        </w:tc>
        <w:tc>
          <w:tcPr>
            <w:tcW w:w="1068" w:type="dxa"/>
            <w:noWrap w:val="0"/>
            <w:vAlign w:val="center"/>
          </w:tcPr>
          <w:p>
            <w:pPr>
              <w:adjustRightInd w:val="0"/>
              <w:spacing w:line="300" w:lineRule="exact"/>
              <w:jc w:val="center"/>
              <w:rPr>
                <w:rFonts w:eastAsia="宋体"/>
                <w:sz w:val="21"/>
                <w:szCs w:val="21"/>
              </w:rPr>
            </w:pPr>
            <w:r>
              <w:rPr>
                <w:rFonts w:eastAsia="宋体"/>
                <w:sz w:val="21"/>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240" w:hRule="atLeast"/>
          <w:jc w:val="center"/>
        </w:trPr>
        <w:tc>
          <w:tcPr>
            <w:tcW w:w="1411" w:type="dxa"/>
            <w:noWrap w:val="0"/>
            <w:vAlign w:val="center"/>
          </w:tcPr>
          <w:p>
            <w:pPr>
              <w:adjustRightInd w:val="0"/>
              <w:spacing w:line="300" w:lineRule="exact"/>
              <w:jc w:val="center"/>
              <w:rPr>
                <w:rFonts w:eastAsia="宋体"/>
                <w:sz w:val="21"/>
                <w:szCs w:val="21"/>
              </w:rPr>
            </w:pPr>
            <w:r>
              <w:rPr>
                <w:rFonts w:eastAsia="宋体"/>
                <w:sz w:val="21"/>
                <w:szCs w:val="21"/>
              </w:rPr>
              <w:t>1</w:t>
            </w:r>
          </w:p>
        </w:tc>
        <w:tc>
          <w:tcPr>
            <w:tcW w:w="2284" w:type="dxa"/>
            <w:noWrap w:val="0"/>
            <w:vAlign w:val="top"/>
          </w:tcPr>
          <w:p>
            <w:pPr>
              <w:adjustRightInd w:val="0"/>
              <w:spacing w:line="300" w:lineRule="exact"/>
              <w:rPr>
                <w:rFonts w:hint="eastAsia" w:ascii="宋体" w:hAnsi="宋体" w:eastAsia="宋体" w:cs="宋体"/>
                <w:sz w:val="21"/>
                <w:szCs w:val="21"/>
              </w:rPr>
            </w:pPr>
            <w:r>
              <w:rPr>
                <w:rFonts w:eastAsia="宋体"/>
                <w:sz w:val="21"/>
                <w:szCs w:val="21"/>
              </w:rPr>
              <w:t>①</w:t>
            </w:r>
            <w:r>
              <w:rPr>
                <w:rFonts w:hint="eastAsia" w:ascii="宋体" w:hAnsi="宋体" w:eastAsia="宋体" w:cs="宋体"/>
                <w:sz w:val="21"/>
                <w:szCs w:val="21"/>
              </w:rPr>
              <w:t>执法巡查类□</w:t>
            </w:r>
          </w:p>
          <w:p>
            <w:pPr>
              <w:adjustRightInd w:val="0"/>
              <w:spacing w:line="300" w:lineRule="exact"/>
              <w:rPr>
                <w:rFonts w:hint="eastAsia" w:ascii="宋体" w:hAnsi="宋体" w:eastAsia="宋体" w:cs="宋体"/>
                <w:sz w:val="21"/>
                <w:szCs w:val="21"/>
              </w:rPr>
            </w:pPr>
            <w:r>
              <w:rPr>
                <w:rFonts w:hint="eastAsia" w:ascii="宋体" w:hAnsi="宋体" w:eastAsia="宋体" w:cs="宋体"/>
                <w:sz w:val="21"/>
                <w:szCs w:val="21"/>
              </w:rPr>
              <w:t>②举报类□</w:t>
            </w:r>
          </w:p>
          <w:p>
            <w:pPr>
              <w:adjustRightInd w:val="0"/>
              <w:spacing w:line="300" w:lineRule="exact"/>
              <w:rPr>
                <w:rFonts w:hint="eastAsia" w:ascii="宋体" w:hAnsi="宋体" w:eastAsia="宋体" w:cs="宋体"/>
                <w:sz w:val="21"/>
                <w:szCs w:val="21"/>
              </w:rPr>
            </w:pPr>
            <w:r>
              <w:rPr>
                <w:rFonts w:hint="eastAsia" w:ascii="宋体" w:hAnsi="宋体" w:eastAsia="宋体" w:cs="宋体"/>
                <w:sz w:val="21"/>
                <w:szCs w:val="21"/>
              </w:rPr>
              <w:t>③其他部门监管类□</w:t>
            </w:r>
          </w:p>
          <w:p>
            <w:pPr>
              <w:adjustRightInd w:val="0"/>
              <w:spacing w:line="300" w:lineRule="exact"/>
              <w:rPr>
                <w:rFonts w:hint="eastAsia" w:ascii="宋体" w:hAnsi="宋体" w:eastAsia="宋体" w:cs="宋体"/>
                <w:sz w:val="21"/>
                <w:szCs w:val="21"/>
                <w:u w:val="single"/>
              </w:rPr>
            </w:pPr>
            <w:r>
              <w:rPr>
                <w:rFonts w:hint="eastAsia" w:ascii="宋体" w:hAnsi="宋体" w:eastAsia="宋体" w:cs="宋体"/>
                <w:sz w:val="21"/>
                <w:szCs w:val="21"/>
              </w:rPr>
              <w:t>移送部门：</w:t>
            </w:r>
            <w:r>
              <w:rPr>
                <w:rFonts w:hint="eastAsia" w:ascii="宋体" w:hAnsi="宋体" w:eastAsia="宋体" w:cs="宋体"/>
                <w:sz w:val="21"/>
                <w:szCs w:val="21"/>
                <w:u w:val="single"/>
              </w:rPr>
              <w:t xml:space="preserve">        </w:t>
            </w:r>
          </w:p>
          <w:p>
            <w:pPr>
              <w:adjustRightInd w:val="0"/>
              <w:spacing w:line="300" w:lineRule="exact"/>
              <w:rPr>
                <w:rFonts w:hint="eastAsia" w:ascii="宋体" w:hAnsi="宋体" w:eastAsia="宋体" w:cs="宋体"/>
                <w:sz w:val="21"/>
                <w:szCs w:val="21"/>
              </w:rPr>
            </w:pPr>
            <w:r>
              <w:rPr>
                <w:rFonts w:hint="eastAsia" w:ascii="宋体" w:hAnsi="宋体" w:eastAsia="宋体" w:cs="宋体"/>
                <w:sz w:val="21"/>
                <w:szCs w:val="21"/>
              </w:rPr>
              <w:t>④其他机构移送类□</w:t>
            </w:r>
          </w:p>
          <w:p>
            <w:pPr>
              <w:adjustRightInd w:val="0"/>
              <w:spacing w:line="300" w:lineRule="exact"/>
              <w:rPr>
                <w:rFonts w:hint="eastAsia" w:ascii="宋体" w:hAnsi="宋体" w:eastAsia="宋体" w:cs="宋体"/>
                <w:sz w:val="21"/>
                <w:szCs w:val="21"/>
                <w:u w:val="single"/>
              </w:rPr>
            </w:pPr>
            <w:r>
              <w:rPr>
                <w:rFonts w:hint="eastAsia" w:ascii="宋体" w:hAnsi="宋体" w:eastAsia="宋体" w:cs="宋体"/>
                <w:sz w:val="21"/>
                <w:szCs w:val="21"/>
              </w:rPr>
              <w:t>移送机构：</w:t>
            </w:r>
            <w:r>
              <w:rPr>
                <w:rFonts w:hint="eastAsia" w:ascii="宋体" w:hAnsi="宋体" w:eastAsia="宋体" w:cs="宋体"/>
                <w:sz w:val="21"/>
                <w:szCs w:val="21"/>
                <w:u w:val="single"/>
              </w:rPr>
              <w:t xml:space="preserve">        </w:t>
            </w:r>
          </w:p>
          <w:p>
            <w:pPr>
              <w:adjustRightInd w:val="0"/>
              <w:spacing w:line="300" w:lineRule="exact"/>
              <w:rPr>
                <w:rFonts w:eastAsia="宋体"/>
                <w:sz w:val="21"/>
                <w:szCs w:val="21"/>
              </w:rPr>
            </w:pPr>
            <w:r>
              <w:rPr>
                <w:rFonts w:hint="eastAsia" w:ascii="宋体" w:hAnsi="宋体" w:eastAsia="宋体" w:cs="宋体"/>
                <w:sz w:val="21"/>
                <w:szCs w:val="21"/>
              </w:rPr>
              <w:t>⑤其他类□</w:t>
            </w:r>
          </w:p>
        </w:tc>
        <w:tc>
          <w:tcPr>
            <w:tcW w:w="1440" w:type="dxa"/>
            <w:noWrap w:val="0"/>
            <w:vAlign w:val="top"/>
          </w:tcPr>
          <w:p>
            <w:pPr>
              <w:adjustRightInd w:val="0"/>
              <w:spacing w:line="300" w:lineRule="exact"/>
              <w:rPr>
                <w:rFonts w:eastAsia="宋体"/>
                <w:sz w:val="21"/>
                <w:szCs w:val="21"/>
              </w:rPr>
            </w:pPr>
          </w:p>
        </w:tc>
        <w:tc>
          <w:tcPr>
            <w:tcW w:w="1455" w:type="dxa"/>
            <w:noWrap w:val="0"/>
            <w:vAlign w:val="top"/>
          </w:tcPr>
          <w:p>
            <w:pPr>
              <w:adjustRightInd w:val="0"/>
              <w:spacing w:line="300" w:lineRule="exact"/>
              <w:rPr>
                <w:rFonts w:eastAsia="宋体"/>
                <w:sz w:val="21"/>
                <w:szCs w:val="21"/>
              </w:rPr>
            </w:pPr>
          </w:p>
        </w:tc>
        <w:tc>
          <w:tcPr>
            <w:tcW w:w="1275" w:type="dxa"/>
            <w:noWrap w:val="0"/>
            <w:vAlign w:val="top"/>
          </w:tcPr>
          <w:p>
            <w:pPr>
              <w:adjustRightInd w:val="0"/>
              <w:spacing w:line="300" w:lineRule="exact"/>
              <w:rPr>
                <w:rFonts w:eastAsia="宋体"/>
                <w:sz w:val="21"/>
                <w:szCs w:val="21"/>
              </w:rPr>
            </w:pPr>
          </w:p>
        </w:tc>
        <w:tc>
          <w:tcPr>
            <w:tcW w:w="2430" w:type="dxa"/>
            <w:noWrap w:val="0"/>
            <w:vAlign w:val="top"/>
          </w:tcPr>
          <w:p>
            <w:pPr>
              <w:adjustRightInd w:val="0"/>
              <w:spacing w:line="300" w:lineRule="exact"/>
              <w:rPr>
                <w:rFonts w:eastAsia="宋体"/>
                <w:sz w:val="21"/>
                <w:szCs w:val="21"/>
              </w:rPr>
            </w:pPr>
          </w:p>
        </w:tc>
        <w:tc>
          <w:tcPr>
            <w:tcW w:w="2610" w:type="dxa"/>
            <w:noWrap w:val="0"/>
            <w:vAlign w:val="center"/>
          </w:tcPr>
          <w:p>
            <w:pPr>
              <w:adjustRightInd w:val="0"/>
              <w:spacing w:line="300" w:lineRule="exact"/>
              <w:rPr>
                <w:rFonts w:hint="eastAsia" w:ascii="宋体" w:hAnsi="宋体" w:eastAsia="宋体" w:cs="宋体"/>
                <w:sz w:val="21"/>
                <w:szCs w:val="21"/>
              </w:rPr>
            </w:pPr>
            <w:r>
              <w:rPr>
                <w:rFonts w:hint="eastAsia" w:ascii="宋体" w:hAnsi="宋体" w:eastAsia="宋体" w:cs="宋体"/>
                <w:sz w:val="21"/>
                <w:szCs w:val="21"/>
              </w:rPr>
              <w:t>①线索核实情况：</w:t>
            </w:r>
          </w:p>
          <w:p>
            <w:pPr>
              <w:adjustRightIn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是□  否□</w:t>
            </w:r>
          </w:p>
          <w:p>
            <w:pPr>
              <w:adjustRightInd w:val="0"/>
              <w:spacing w:line="300" w:lineRule="exact"/>
              <w:rPr>
                <w:rFonts w:hint="eastAsia" w:ascii="宋体" w:hAnsi="宋体" w:eastAsia="宋体" w:cs="宋体"/>
                <w:sz w:val="21"/>
                <w:szCs w:val="21"/>
              </w:rPr>
            </w:pPr>
            <w:r>
              <w:rPr>
                <w:rFonts w:hint="eastAsia" w:ascii="宋体" w:hAnsi="宋体" w:eastAsia="宋体" w:cs="宋体"/>
                <w:sz w:val="21"/>
                <w:szCs w:val="21"/>
              </w:rPr>
              <w:t>②水利部门立案情况：</w:t>
            </w:r>
          </w:p>
          <w:p>
            <w:pPr>
              <w:adjustRightIn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是□  否□</w:t>
            </w:r>
          </w:p>
          <w:p>
            <w:pPr>
              <w:adjustRightInd w:val="0"/>
              <w:spacing w:line="300" w:lineRule="exact"/>
              <w:rPr>
                <w:rFonts w:hint="eastAsia" w:ascii="宋体" w:hAnsi="宋体" w:eastAsia="宋体" w:cs="宋体"/>
                <w:sz w:val="21"/>
                <w:szCs w:val="21"/>
              </w:rPr>
            </w:pPr>
            <w:r>
              <w:rPr>
                <w:rFonts w:hint="eastAsia" w:ascii="宋体" w:hAnsi="宋体" w:eastAsia="宋体" w:cs="宋体"/>
                <w:sz w:val="21"/>
                <w:szCs w:val="21"/>
              </w:rPr>
              <w:t>③移送到其他机构情况：</w:t>
            </w:r>
          </w:p>
          <w:p>
            <w:pPr>
              <w:adjustRightInd w:val="0"/>
              <w:spacing w:line="300" w:lineRule="exact"/>
              <w:jc w:val="center"/>
              <w:rPr>
                <w:rFonts w:hint="eastAsia" w:ascii="宋体" w:hAnsi="宋体" w:eastAsia="宋体" w:cs="宋体"/>
                <w:sz w:val="21"/>
                <w:szCs w:val="21"/>
              </w:rPr>
            </w:pPr>
            <w:r>
              <w:rPr>
                <w:rFonts w:hint="eastAsia" w:ascii="宋体" w:hAnsi="宋体" w:eastAsia="宋体" w:cs="宋体"/>
                <w:sz w:val="21"/>
                <w:szCs w:val="21"/>
              </w:rPr>
              <w:t>是□  否□</w:t>
            </w:r>
          </w:p>
          <w:p>
            <w:pPr>
              <w:adjustRightInd w:val="0"/>
              <w:spacing w:line="300" w:lineRule="exact"/>
              <w:rPr>
                <w:rFonts w:eastAsia="宋体"/>
                <w:sz w:val="21"/>
                <w:szCs w:val="21"/>
              </w:rPr>
            </w:pPr>
            <w:r>
              <w:rPr>
                <w:rFonts w:hint="eastAsia" w:ascii="宋体" w:hAnsi="宋体" w:eastAsia="宋体" w:cs="宋体"/>
                <w:sz w:val="21"/>
                <w:szCs w:val="21"/>
              </w:rPr>
              <w:t>移送机构：</w:t>
            </w:r>
            <w:r>
              <w:rPr>
                <w:rFonts w:hint="eastAsia" w:ascii="宋体" w:hAnsi="宋体" w:eastAsia="宋体" w:cs="宋体"/>
                <w:sz w:val="21"/>
                <w:szCs w:val="21"/>
                <w:u w:val="single"/>
              </w:rPr>
              <w:t xml:space="preserve">        </w:t>
            </w:r>
          </w:p>
        </w:tc>
        <w:tc>
          <w:tcPr>
            <w:tcW w:w="1068" w:type="dxa"/>
            <w:noWrap w:val="0"/>
            <w:vAlign w:val="top"/>
          </w:tcPr>
          <w:p>
            <w:pPr>
              <w:adjustRightInd w:val="0"/>
              <w:spacing w:line="30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8" w:hRule="atLeast"/>
          <w:jc w:val="center"/>
        </w:trPr>
        <w:tc>
          <w:tcPr>
            <w:tcW w:w="1411" w:type="dxa"/>
            <w:noWrap w:val="0"/>
            <w:vAlign w:val="center"/>
          </w:tcPr>
          <w:p>
            <w:pPr>
              <w:adjustRightInd w:val="0"/>
              <w:spacing w:line="300" w:lineRule="exact"/>
              <w:jc w:val="center"/>
              <w:rPr>
                <w:rFonts w:eastAsia="宋体"/>
                <w:sz w:val="21"/>
                <w:szCs w:val="21"/>
              </w:rPr>
            </w:pPr>
            <w:r>
              <w:rPr>
                <w:rFonts w:eastAsia="宋体"/>
                <w:sz w:val="21"/>
                <w:szCs w:val="21"/>
              </w:rPr>
              <w:t>2</w:t>
            </w:r>
          </w:p>
        </w:tc>
        <w:tc>
          <w:tcPr>
            <w:tcW w:w="2284" w:type="dxa"/>
            <w:noWrap w:val="0"/>
            <w:vAlign w:val="top"/>
          </w:tcPr>
          <w:p>
            <w:pPr>
              <w:adjustRightInd w:val="0"/>
              <w:spacing w:line="300" w:lineRule="exact"/>
              <w:rPr>
                <w:rFonts w:eastAsia="宋体"/>
                <w:sz w:val="21"/>
                <w:szCs w:val="21"/>
              </w:rPr>
            </w:pPr>
          </w:p>
        </w:tc>
        <w:tc>
          <w:tcPr>
            <w:tcW w:w="1440" w:type="dxa"/>
            <w:noWrap w:val="0"/>
            <w:vAlign w:val="top"/>
          </w:tcPr>
          <w:p>
            <w:pPr>
              <w:adjustRightInd w:val="0"/>
              <w:spacing w:line="300" w:lineRule="exact"/>
              <w:rPr>
                <w:rFonts w:eastAsia="宋体"/>
                <w:sz w:val="21"/>
                <w:szCs w:val="21"/>
              </w:rPr>
            </w:pPr>
          </w:p>
        </w:tc>
        <w:tc>
          <w:tcPr>
            <w:tcW w:w="1455" w:type="dxa"/>
            <w:noWrap w:val="0"/>
            <w:vAlign w:val="top"/>
          </w:tcPr>
          <w:p>
            <w:pPr>
              <w:adjustRightInd w:val="0"/>
              <w:spacing w:line="300" w:lineRule="exact"/>
              <w:rPr>
                <w:rFonts w:eastAsia="宋体"/>
                <w:sz w:val="21"/>
                <w:szCs w:val="21"/>
              </w:rPr>
            </w:pPr>
          </w:p>
        </w:tc>
        <w:tc>
          <w:tcPr>
            <w:tcW w:w="1275" w:type="dxa"/>
            <w:noWrap w:val="0"/>
            <w:vAlign w:val="top"/>
          </w:tcPr>
          <w:p>
            <w:pPr>
              <w:adjustRightInd w:val="0"/>
              <w:spacing w:line="300" w:lineRule="exact"/>
              <w:rPr>
                <w:rFonts w:eastAsia="宋体"/>
                <w:sz w:val="21"/>
                <w:szCs w:val="21"/>
              </w:rPr>
            </w:pPr>
          </w:p>
        </w:tc>
        <w:tc>
          <w:tcPr>
            <w:tcW w:w="2430" w:type="dxa"/>
            <w:noWrap w:val="0"/>
            <w:vAlign w:val="top"/>
          </w:tcPr>
          <w:p>
            <w:pPr>
              <w:adjustRightInd w:val="0"/>
              <w:spacing w:line="300" w:lineRule="exact"/>
              <w:rPr>
                <w:rFonts w:eastAsia="宋体"/>
                <w:sz w:val="21"/>
                <w:szCs w:val="21"/>
              </w:rPr>
            </w:pPr>
          </w:p>
        </w:tc>
        <w:tc>
          <w:tcPr>
            <w:tcW w:w="2610" w:type="dxa"/>
            <w:noWrap w:val="0"/>
            <w:vAlign w:val="top"/>
          </w:tcPr>
          <w:p>
            <w:pPr>
              <w:adjustRightInd w:val="0"/>
              <w:spacing w:line="300" w:lineRule="exact"/>
              <w:rPr>
                <w:rFonts w:eastAsia="宋体"/>
                <w:sz w:val="21"/>
                <w:szCs w:val="21"/>
              </w:rPr>
            </w:pPr>
          </w:p>
        </w:tc>
        <w:tc>
          <w:tcPr>
            <w:tcW w:w="1068" w:type="dxa"/>
            <w:noWrap w:val="0"/>
            <w:vAlign w:val="top"/>
          </w:tcPr>
          <w:p>
            <w:pPr>
              <w:adjustRightInd w:val="0"/>
              <w:spacing w:line="30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8" w:hRule="atLeast"/>
          <w:jc w:val="center"/>
        </w:trPr>
        <w:tc>
          <w:tcPr>
            <w:tcW w:w="1411" w:type="dxa"/>
            <w:noWrap w:val="0"/>
            <w:vAlign w:val="center"/>
          </w:tcPr>
          <w:p>
            <w:pPr>
              <w:adjustRightInd w:val="0"/>
              <w:spacing w:line="300" w:lineRule="exact"/>
              <w:jc w:val="center"/>
              <w:rPr>
                <w:rFonts w:eastAsia="宋体"/>
                <w:sz w:val="21"/>
                <w:szCs w:val="21"/>
              </w:rPr>
            </w:pPr>
            <w:r>
              <w:rPr>
                <w:rFonts w:eastAsia="宋体"/>
                <w:sz w:val="21"/>
                <w:szCs w:val="21"/>
              </w:rPr>
              <w:t>3</w:t>
            </w:r>
          </w:p>
        </w:tc>
        <w:tc>
          <w:tcPr>
            <w:tcW w:w="2284" w:type="dxa"/>
            <w:noWrap w:val="0"/>
            <w:vAlign w:val="top"/>
          </w:tcPr>
          <w:p>
            <w:pPr>
              <w:adjustRightInd w:val="0"/>
              <w:spacing w:line="300" w:lineRule="exact"/>
              <w:rPr>
                <w:rFonts w:eastAsia="宋体"/>
                <w:sz w:val="21"/>
                <w:szCs w:val="21"/>
              </w:rPr>
            </w:pPr>
          </w:p>
        </w:tc>
        <w:tc>
          <w:tcPr>
            <w:tcW w:w="1440" w:type="dxa"/>
            <w:noWrap w:val="0"/>
            <w:vAlign w:val="top"/>
          </w:tcPr>
          <w:p>
            <w:pPr>
              <w:adjustRightInd w:val="0"/>
              <w:spacing w:line="300" w:lineRule="exact"/>
              <w:rPr>
                <w:rFonts w:eastAsia="宋体"/>
                <w:sz w:val="21"/>
                <w:szCs w:val="21"/>
              </w:rPr>
            </w:pPr>
          </w:p>
        </w:tc>
        <w:tc>
          <w:tcPr>
            <w:tcW w:w="1455" w:type="dxa"/>
            <w:noWrap w:val="0"/>
            <w:vAlign w:val="top"/>
          </w:tcPr>
          <w:p>
            <w:pPr>
              <w:adjustRightInd w:val="0"/>
              <w:spacing w:line="300" w:lineRule="exact"/>
              <w:rPr>
                <w:rFonts w:eastAsia="宋体"/>
                <w:sz w:val="21"/>
                <w:szCs w:val="21"/>
              </w:rPr>
            </w:pPr>
          </w:p>
        </w:tc>
        <w:tc>
          <w:tcPr>
            <w:tcW w:w="1275" w:type="dxa"/>
            <w:noWrap w:val="0"/>
            <w:vAlign w:val="top"/>
          </w:tcPr>
          <w:p>
            <w:pPr>
              <w:adjustRightInd w:val="0"/>
              <w:spacing w:line="300" w:lineRule="exact"/>
              <w:rPr>
                <w:rFonts w:eastAsia="宋体"/>
                <w:sz w:val="21"/>
                <w:szCs w:val="21"/>
              </w:rPr>
            </w:pPr>
          </w:p>
        </w:tc>
        <w:tc>
          <w:tcPr>
            <w:tcW w:w="2430" w:type="dxa"/>
            <w:noWrap w:val="0"/>
            <w:vAlign w:val="top"/>
          </w:tcPr>
          <w:p>
            <w:pPr>
              <w:adjustRightInd w:val="0"/>
              <w:spacing w:line="300" w:lineRule="exact"/>
              <w:rPr>
                <w:rFonts w:eastAsia="宋体"/>
                <w:sz w:val="21"/>
                <w:szCs w:val="21"/>
              </w:rPr>
            </w:pPr>
          </w:p>
        </w:tc>
        <w:tc>
          <w:tcPr>
            <w:tcW w:w="2610" w:type="dxa"/>
            <w:noWrap w:val="0"/>
            <w:vAlign w:val="top"/>
          </w:tcPr>
          <w:p>
            <w:pPr>
              <w:adjustRightInd w:val="0"/>
              <w:spacing w:line="300" w:lineRule="exact"/>
              <w:rPr>
                <w:rFonts w:eastAsia="宋体"/>
                <w:sz w:val="21"/>
                <w:szCs w:val="21"/>
              </w:rPr>
            </w:pPr>
          </w:p>
        </w:tc>
        <w:tc>
          <w:tcPr>
            <w:tcW w:w="1068" w:type="dxa"/>
            <w:noWrap w:val="0"/>
            <w:vAlign w:val="top"/>
          </w:tcPr>
          <w:p>
            <w:pPr>
              <w:adjustRightInd w:val="0"/>
              <w:spacing w:line="300" w:lineRule="exact"/>
              <w:rPr>
                <w:rFonts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8" w:hRule="atLeast"/>
          <w:jc w:val="center"/>
        </w:trPr>
        <w:tc>
          <w:tcPr>
            <w:tcW w:w="1411" w:type="dxa"/>
            <w:noWrap w:val="0"/>
            <w:vAlign w:val="center"/>
          </w:tcPr>
          <w:p>
            <w:pPr>
              <w:adjustRightInd w:val="0"/>
              <w:spacing w:line="300" w:lineRule="exact"/>
              <w:jc w:val="center"/>
              <w:rPr>
                <w:rFonts w:eastAsia="宋体"/>
                <w:sz w:val="21"/>
                <w:szCs w:val="21"/>
              </w:rPr>
            </w:pPr>
            <w:r>
              <w:rPr>
                <w:rFonts w:eastAsia="宋体"/>
                <w:sz w:val="21"/>
                <w:szCs w:val="21"/>
              </w:rPr>
              <w:t>4</w:t>
            </w:r>
          </w:p>
        </w:tc>
        <w:tc>
          <w:tcPr>
            <w:tcW w:w="2284" w:type="dxa"/>
            <w:noWrap w:val="0"/>
            <w:vAlign w:val="top"/>
          </w:tcPr>
          <w:p>
            <w:pPr>
              <w:adjustRightInd w:val="0"/>
              <w:spacing w:line="300" w:lineRule="exact"/>
              <w:rPr>
                <w:rFonts w:eastAsia="宋体"/>
                <w:sz w:val="21"/>
                <w:szCs w:val="21"/>
              </w:rPr>
            </w:pPr>
          </w:p>
        </w:tc>
        <w:tc>
          <w:tcPr>
            <w:tcW w:w="1440" w:type="dxa"/>
            <w:noWrap w:val="0"/>
            <w:vAlign w:val="top"/>
          </w:tcPr>
          <w:p>
            <w:pPr>
              <w:adjustRightInd w:val="0"/>
              <w:spacing w:line="300" w:lineRule="exact"/>
              <w:rPr>
                <w:rFonts w:eastAsia="宋体"/>
                <w:sz w:val="21"/>
                <w:szCs w:val="21"/>
              </w:rPr>
            </w:pPr>
          </w:p>
        </w:tc>
        <w:tc>
          <w:tcPr>
            <w:tcW w:w="1455" w:type="dxa"/>
            <w:noWrap w:val="0"/>
            <w:vAlign w:val="top"/>
          </w:tcPr>
          <w:p>
            <w:pPr>
              <w:adjustRightInd w:val="0"/>
              <w:spacing w:line="300" w:lineRule="exact"/>
              <w:rPr>
                <w:rFonts w:eastAsia="宋体"/>
                <w:sz w:val="21"/>
                <w:szCs w:val="21"/>
              </w:rPr>
            </w:pPr>
          </w:p>
        </w:tc>
        <w:tc>
          <w:tcPr>
            <w:tcW w:w="1275" w:type="dxa"/>
            <w:noWrap w:val="0"/>
            <w:vAlign w:val="top"/>
          </w:tcPr>
          <w:p>
            <w:pPr>
              <w:adjustRightInd w:val="0"/>
              <w:spacing w:line="300" w:lineRule="exact"/>
              <w:rPr>
                <w:rFonts w:eastAsia="宋体"/>
                <w:sz w:val="21"/>
                <w:szCs w:val="21"/>
              </w:rPr>
            </w:pPr>
          </w:p>
        </w:tc>
        <w:tc>
          <w:tcPr>
            <w:tcW w:w="2430" w:type="dxa"/>
            <w:noWrap w:val="0"/>
            <w:vAlign w:val="top"/>
          </w:tcPr>
          <w:p>
            <w:pPr>
              <w:adjustRightInd w:val="0"/>
              <w:spacing w:line="300" w:lineRule="exact"/>
              <w:rPr>
                <w:rFonts w:eastAsia="宋体"/>
                <w:sz w:val="21"/>
                <w:szCs w:val="21"/>
              </w:rPr>
            </w:pPr>
          </w:p>
        </w:tc>
        <w:tc>
          <w:tcPr>
            <w:tcW w:w="2610" w:type="dxa"/>
            <w:noWrap w:val="0"/>
            <w:vAlign w:val="top"/>
          </w:tcPr>
          <w:p>
            <w:pPr>
              <w:adjustRightInd w:val="0"/>
              <w:spacing w:line="300" w:lineRule="exact"/>
              <w:rPr>
                <w:rFonts w:eastAsia="宋体"/>
                <w:sz w:val="21"/>
                <w:szCs w:val="21"/>
              </w:rPr>
            </w:pPr>
          </w:p>
        </w:tc>
        <w:tc>
          <w:tcPr>
            <w:tcW w:w="1068" w:type="dxa"/>
            <w:noWrap w:val="0"/>
            <w:vAlign w:val="top"/>
          </w:tcPr>
          <w:p>
            <w:pPr>
              <w:adjustRightInd w:val="0"/>
              <w:spacing w:line="300" w:lineRule="exact"/>
              <w:rPr>
                <w:rFonts w:eastAsia="宋体"/>
                <w:sz w:val="21"/>
                <w:szCs w:val="21"/>
              </w:rPr>
            </w:pPr>
          </w:p>
        </w:tc>
      </w:tr>
    </w:tbl>
    <w:p>
      <w:pPr>
        <w:spacing w:line="600" w:lineRule="exact"/>
        <w:outlineLvl w:val="0"/>
        <w:rPr>
          <w:rFonts w:hint="eastAsia" w:ascii="方正黑体_GBK" w:hAnsi="方正黑体_GBK" w:eastAsia="方正黑体_GBK" w:cs="方正黑体_GBK"/>
          <w:sz w:val="21"/>
          <w:szCs w:val="21"/>
        </w:rPr>
        <w:sectPr>
          <w:footerReference r:id="rId4" w:type="default"/>
          <w:pgSz w:w="16838" w:h="11906" w:orient="landscape"/>
          <w:pgMar w:top="1474" w:right="1701" w:bottom="1474" w:left="1814" w:header="851" w:footer="1417" w:gutter="0"/>
          <w:cols w:space="720" w:num="1"/>
          <w:docGrid w:type="lines" w:linePitch="312" w:charSpace="0"/>
        </w:sectPr>
      </w:pPr>
      <w:r>
        <w:rPr>
          <w:rFonts w:eastAsia="宋体"/>
          <w:sz w:val="24"/>
        </w:rPr>
        <w:t>单位负责人：              统计负责人：</w:t>
      </w:r>
      <w:r>
        <w:rPr>
          <w:rFonts w:eastAsia="宋体"/>
          <w:sz w:val="24"/>
          <w:lang w:val="en"/>
        </w:rPr>
        <w:t xml:space="preserve">            </w:t>
      </w:r>
      <w:r>
        <w:rPr>
          <w:rFonts w:eastAsia="宋体"/>
          <w:sz w:val="24"/>
        </w:rPr>
        <w:t xml:space="preserve">填表人：            </w:t>
      </w:r>
      <w:r>
        <w:rPr>
          <w:rFonts w:hint="eastAsia" w:eastAsia="宋体"/>
          <w:sz w:val="24"/>
        </w:rPr>
        <w:t xml:space="preserve"> </w:t>
      </w:r>
      <w:r>
        <w:rPr>
          <w:rFonts w:eastAsia="宋体"/>
          <w:sz w:val="24"/>
        </w:rPr>
        <w:t xml:space="preserve"> 报出日期：</w:t>
      </w:r>
    </w:p>
    <w:p>
      <w:pPr>
        <w:keepNext w:val="0"/>
        <w:keepLines w:val="0"/>
        <w:pageBreakBefore w:val="0"/>
        <w:widowControl w:val="0"/>
        <w:kinsoku/>
        <w:wordWrap/>
        <w:overflowPunct/>
        <w:topLinePunct w:val="0"/>
        <w:autoSpaceDE/>
        <w:autoSpaceDN/>
        <w:bidi w:val="0"/>
        <w:adjustRightInd w:val="0"/>
        <w:snapToGrid/>
        <w:spacing w:line="470" w:lineRule="exact"/>
        <w:textAlignment w:val="auto"/>
        <w:outlineLvl w:val="0"/>
        <w:rPr>
          <w:rFonts w:hint="eastAsia" w:ascii="仿宋" w:hAnsi="仿宋" w:eastAsia="仿宋" w:cs="方正小标宋简体"/>
          <w:sz w:val="28"/>
          <w:szCs w:val="28"/>
        </w:rPr>
      </w:pPr>
      <w:r>
        <w:rPr>
          <w:rFonts w:hint="eastAsia" w:ascii="仿宋" w:hAnsi="仿宋" w:eastAsia="仿宋" w:cs="方正小标宋简体"/>
          <w:sz w:val="28"/>
          <w:szCs w:val="28"/>
        </w:rPr>
        <w:t>填表说明：</w:t>
      </w:r>
    </w:p>
    <w:p>
      <w:pPr>
        <w:keepNext w:val="0"/>
        <w:keepLines w:val="0"/>
        <w:pageBreakBefore w:val="0"/>
        <w:widowControl w:val="0"/>
        <w:kinsoku/>
        <w:wordWrap/>
        <w:overflowPunct/>
        <w:topLinePunct w:val="0"/>
        <w:autoSpaceDE/>
        <w:autoSpaceDN/>
        <w:bidi w:val="0"/>
        <w:adjustRightInd w:val="0"/>
        <w:snapToGrid/>
        <w:spacing w:line="47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1.“问题线索来源”栏目。勾选执法巡查类、举报类、其他部门监管类、其他机构移送类、其他类等。勾选其他部门监管类的，</w:t>
      </w:r>
      <w:r>
        <w:rPr>
          <w:rFonts w:hint="eastAsia" w:ascii="仿宋" w:hAnsi="仿宋" w:eastAsia="仿宋" w:cs="仿宋_GB2312"/>
          <w:spacing w:val="6"/>
          <w:sz w:val="28"/>
          <w:szCs w:val="28"/>
        </w:rPr>
        <w:t>请进一步明确部门，如，河湖管理部门、水旱灾害防御部门、工程运行管理部门、监督部门、其他部门。勾选其他机构移送类的，请进一步明确机构类型，如，检察机关、公安机关、司法行政机关、其他机构。</w:t>
      </w:r>
    </w:p>
    <w:p>
      <w:pPr>
        <w:keepNext w:val="0"/>
        <w:keepLines w:val="0"/>
        <w:pageBreakBefore w:val="0"/>
        <w:widowControl w:val="0"/>
        <w:kinsoku/>
        <w:wordWrap/>
        <w:overflowPunct/>
        <w:topLinePunct w:val="0"/>
        <w:autoSpaceDE/>
        <w:autoSpaceDN/>
        <w:bidi w:val="0"/>
        <w:adjustRightInd w:val="0"/>
        <w:snapToGrid/>
        <w:spacing w:line="47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2.“发现（举报、移送）时间</w:t>
      </w:r>
      <w:r>
        <w:rPr>
          <w:rFonts w:hint="eastAsia" w:ascii="仿宋" w:hAnsi="仿宋" w:eastAsia="仿宋" w:cs="仿宋_GB2312"/>
          <w:sz w:val="28"/>
          <w:szCs w:val="28"/>
          <w:lang w:val="en"/>
        </w:rPr>
        <w:t>”</w:t>
      </w:r>
      <w:r>
        <w:rPr>
          <w:rFonts w:hint="eastAsia" w:ascii="仿宋" w:hAnsi="仿宋" w:eastAsia="仿宋" w:cs="仿宋_GB2312"/>
          <w:sz w:val="28"/>
          <w:szCs w:val="28"/>
        </w:rPr>
        <w:t xml:space="preserve">栏目。填写巡查发现的时间、举报的时间或其他机构移送的时间，时间格式为2023（2024）-XX-XX </w:t>
      </w:r>
      <w:r>
        <w:rPr>
          <w:rFonts w:hint="eastAsia" w:ascii="仿宋" w:hAnsi="仿宋" w:eastAsia="仿宋" w:cs="仿宋_GB2312"/>
          <w:sz w:val="28"/>
          <w:szCs w:val="28"/>
          <w:lang w:val="en"/>
        </w:rPr>
        <w:t xml:space="preserve"> </w:t>
      </w:r>
      <w:r>
        <w:rPr>
          <w:rFonts w:hint="eastAsia" w:ascii="仿宋" w:hAnsi="仿宋" w:eastAsia="仿宋" w:cs="仿宋_GB2312"/>
          <w:sz w:val="28"/>
          <w:szCs w:val="28"/>
        </w:rPr>
        <w:t>XX</w:t>
      </w:r>
      <w:r>
        <w:rPr>
          <w:rFonts w:hint="eastAsia" w:ascii="仿宋" w:hAnsi="仿宋" w:eastAsia="仿宋" w:cs="仿宋_GB2312"/>
          <w:sz w:val="28"/>
          <w:szCs w:val="28"/>
          <w:lang w:val="en"/>
        </w:rPr>
        <w:t>:</w:t>
      </w:r>
      <w:r>
        <w:rPr>
          <w:rFonts w:hint="eastAsia" w:ascii="仿宋" w:hAnsi="仿宋" w:eastAsia="仿宋" w:cs="仿宋_GB2312"/>
          <w:sz w:val="28"/>
          <w:szCs w:val="28"/>
        </w:rPr>
        <w:t>XX 。</w:t>
      </w:r>
    </w:p>
    <w:p>
      <w:pPr>
        <w:keepNext w:val="0"/>
        <w:keepLines w:val="0"/>
        <w:pageBreakBefore w:val="0"/>
        <w:widowControl w:val="0"/>
        <w:kinsoku/>
        <w:wordWrap/>
        <w:overflowPunct/>
        <w:topLinePunct w:val="0"/>
        <w:autoSpaceDE/>
        <w:autoSpaceDN/>
        <w:bidi w:val="0"/>
        <w:adjustRightInd w:val="0"/>
        <w:snapToGrid/>
        <w:spacing w:line="470" w:lineRule="exact"/>
        <w:ind w:firstLine="536" w:firstLineChars="200"/>
        <w:textAlignment w:val="auto"/>
        <w:rPr>
          <w:rFonts w:hint="eastAsia" w:ascii="仿宋" w:hAnsi="仿宋" w:eastAsia="仿宋" w:cs="仿宋_GB2312"/>
          <w:sz w:val="28"/>
          <w:szCs w:val="28"/>
          <w:lang w:val="en"/>
        </w:rPr>
      </w:pPr>
      <w:r>
        <w:rPr>
          <w:rFonts w:hint="eastAsia" w:ascii="仿宋" w:hAnsi="仿宋" w:eastAsia="仿宋" w:cs="仿宋_GB2312"/>
          <w:spacing w:val="-6"/>
          <w:sz w:val="28"/>
          <w:szCs w:val="28"/>
        </w:rPr>
        <w:t>3.“问题或线索的基本情况”栏目。填写巡查发现或者其他机构移</w:t>
      </w:r>
      <w:r>
        <w:rPr>
          <w:rFonts w:hint="eastAsia" w:ascii="仿宋" w:hAnsi="仿宋" w:eastAsia="仿宋" w:cs="仿宋_GB2312"/>
          <w:spacing w:val="6"/>
          <w:sz w:val="28"/>
          <w:szCs w:val="28"/>
        </w:rPr>
        <w:t>送问题基本情况，或者举报线索的基本情况。</w:t>
      </w:r>
      <w:r>
        <w:rPr>
          <w:rFonts w:hint="eastAsia" w:ascii="仿宋" w:hAnsi="仿宋" w:eastAsia="仿宋" w:cs="仿宋_GB2312"/>
          <w:sz w:val="28"/>
          <w:szCs w:val="28"/>
        </w:rPr>
        <w:t>主要内容包括时间、地点、人物、起因、经过和结果等方面的要素。</w:t>
      </w:r>
    </w:p>
    <w:p>
      <w:pPr>
        <w:keepNext w:val="0"/>
        <w:keepLines w:val="0"/>
        <w:pageBreakBefore w:val="0"/>
        <w:widowControl w:val="0"/>
        <w:kinsoku/>
        <w:wordWrap/>
        <w:overflowPunct/>
        <w:topLinePunct w:val="0"/>
        <w:autoSpaceDE/>
        <w:autoSpaceDN/>
        <w:bidi w:val="0"/>
        <w:adjustRightInd w:val="0"/>
        <w:snapToGrid/>
        <w:spacing w:line="47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4“违法（被举报）主体”栏目。填写巡查发现或者其他机构移送问题的违法主体，举报线索中的被举报主体。</w:t>
      </w:r>
    </w:p>
    <w:p>
      <w:pPr>
        <w:keepNext w:val="0"/>
        <w:keepLines w:val="0"/>
        <w:pageBreakBefore w:val="0"/>
        <w:widowControl w:val="0"/>
        <w:kinsoku/>
        <w:wordWrap/>
        <w:overflowPunct/>
        <w:topLinePunct w:val="0"/>
        <w:autoSpaceDE/>
        <w:autoSpaceDN/>
        <w:bidi w:val="0"/>
        <w:adjustRightInd w:val="0"/>
        <w:snapToGrid/>
        <w:spacing w:line="47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5.“工作进展情况</w:t>
      </w:r>
      <w:r>
        <w:rPr>
          <w:rFonts w:hint="eastAsia" w:ascii="仿宋" w:hAnsi="仿宋" w:eastAsia="仿宋" w:cs="仿宋_GB2312"/>
          <w:sz w:val="28"/>
          <w:szCs w:val="28"/>
          <w:lang w:val="en"/>
        </w:rPr>
        <w:t>”</w:t>
      </w:r>
      <w:r>
        <w:rPr>
          <w:rFonts w:hint="eastAsia" w:ascii="仿宋" w:hAnsi="仿宋" w:eastAsia="仿宋" w:cs="仿宋_GB2312"/>
          <w:sz w:val="28"/>
          <w:szCs w:val="28"/>
        </w:rPr>
        <w:t>栏目。填写发现问题、接到移送问题或者举报线索后，水行政执法机构开展核查及督促整改等工作情况，每月更新台账。</w:t>
      </w:r>
    </w:p>
    <w:p>
      <w:pPr>
        <w:keepNext w:val="0"/>
        <w:keepLines w:val="0"/>
        <w:pageBreakBefore w:val="0"/>
        <w:widowControl w:val="0"/>
        <w:kinsoku/>
        <w:wordWrap/>
        <w:overflowPunct/>
        <w:topLinePunct w:val="0"/>
        <w:autoSpaceDE/>
        <w:autoSpaceDN/>
        <w:bidi w:val="0"/>
        <w:adjustRightInd w:val="0"/>
        <w:snapToGrid/>
        <w:spacing w:line="470" w:lineRule="exact"/>
        <w:ind w:firstLine="536" w:firstLineChars="200"/>
        <w:textAlignment w:val="auto"/>
        <w:rPr>
          <w:rFonts w:hint="eastAsia" w:ascii="仿宋" w:hAnsi="仿宋" w:eastAsia="仿宋" w:cs="仿宋_GB2312"/>
          <w:spacing w:val="-11"/>
          <w:sz w:val="28"/>
          <w:szCs w:val="28"/>
        </w:rPr>
      </w:pPr>
      <w:r>
        <w:rPr>
          <w:rFonts w:hint="eastAsia" w:ascii="仿宋" w:hAnsi="仿宋" w:eastAsia="仿宋" w:cs="仿宋_GB2312"/>
          <w:spacing w:val="-6"/>
          <w:sz w:val="28"/>
          <w:szCs w:val="28"/>
        </w:rPr>
        <w:t>6.</w:t>
      </w:r>
      <w:r>
        <w:rPr>
          <w:rFonts w:hint="eastAsia" w:ascii="仿宋" w:hAnsi="仿宋" w:eastAsia="仿宋" w:cs="仿宋_GB2312"/>
          <w:spacing w:val="-11"/>
          <w:sz w:val="28"/>
          <w:szCs w:val="28"/>
        </w:rPr>
        <w:t>“线索处理情况</w:t>
      </w:r>
      <w:r>
        <w:rPr>
          <w:rFonts w:hint="eastAsia" w:ascii="仿宋" w:hAnsi="仿宋" w:eastAsia="仿宋" w:cs="仿宋_GB2312"/>
          <w:spacing w:val="-11"/>
          <w:sz w:val="28"/>
          <w:szCs w:val="28"/>
          <w:lang w:val="en"/>
        </w:rPr>
        <w:t>”</w:t>
      </w:r>
      <w:r>
        <w:rPr>
          <w:rFonts w:hint="eastAsia" w:ascii="仿宋" w:hAnsi="仿宋" w:eastAsia="仿宋" w:cs="仿宋_GB2312"/>
          <w:spacing w:val="-11"/>
          <w:sz w:val="28"/>
          <w:szCs w:val="28"/>
        </w:rPr>
        <w:t>栏目。“线索核实情况”，如果属实勾选“是”，不属实勾选“否”。如果勾选“否”，需在工作进展情况中说明不属实的详细情况。</w:t>
      </w:r>
    </w:p>
    <w:p>
      <w:pPr>
        <w:keepNext w:val="0"/>
        <w:keepLines w:val="0"/>
        <w:pageBreakBefore w:val="0"/>
        <w:widowControl w:val="0"/>
        <w:kinsoku/>
        <w:wordWrap/>
        <w:overflowPunct/>
        <w:topLinePunct w:val="0"/>
        <w:autoSpaceDE/>
        <w:autoSpaceDN/>
        <w:bidi w:val="0"/>
        <w:adjustRightInd w:val="0"/>
        <w:snapToGrid/>
        <w:spacing w:line="47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7.“水利部门立案情况”</w:t>
      </w:r>
      <w:r>
        <w:rPr>
          <w:rFonts w:hint="eastAsia" w:ascii="仿宋" w:hAnsi="仿宋" w:eastAsia="仿宋" w:cs="仿宋_GB2312"/>
          <w:sz w:val="28"/>
          <w:szCs w:val="28"/>
          <w:lang w:val="en"/>
        </w:rPr>
        <w:t>，</w:t>
      </w:r>
      <w:r>
        <w:rPr>
          <w:rFonts w:hint="eastAsia" w:ascii="仿宋" w:hAnsi="仿宋" w:eastAsia="仿宋" w:cs="仿宋_GB2312"/>
          <w:sz w:val="28"/>
          <w:szCs w:val="28"/>
        </w:rPr>
        <w:t>填写水行政执法机构立案情况，已立案的勾选“是”，无需立案的勾选“否”。</w:t>
      </w:r>
    </w:p>
    <w:p>
      <w:pPr>
        <w:keepNext w:val="0"/>
        <w:keepLines w:val="0"/>
        <w:pageBreakBefore w:val="0"/>
        <w:widowControl w:val="0"/>
        <w:kinsoku/>
        <w:wordWrap/>
        <w:overflowPunct/>
        <w:topLinePunct w:val="0"/>
        <w:autoSpaceDE/>
        <w:autoSpaceDN/>
        <w:bidi w:val="0"/>
        <w:adjustRightInd w:val="0"/>
        <w:snapToGrid/>
        <w:spacing w:line="47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8.“移送到其他机构情况</w:t>
      </w:r>
      <w:r>
        <w:rPr>
          <w:rFonts w:hint="eastAsia" w:ascii="仿宋" w:hAnsi="仿宋" w:eastAsia="仿宋" w:cs="仿宋_GB2312"/>
          <w:sz w:val="28"/>
          <w:szCs w:val="28"/>
          <w:lang w:val="en"/>
        </w:rPr>
        <w:t>”</w:t>
      </w:r>
      <w:r>
        <w:rPr>
          <w:rFonts w:hint="eastAsia" w:ascii="仿宋" w:hAnsi="仿宋" w:eastAsia="仿宋" w:cs="仿宋_GB2312"/>
          <w:sz w:val="28"/>
          <w:szCs w:val="28"/>
        </w:rPr>
        <w:t>，如果移送到其他机构勾选“是”，不移送</w:t>
      </w:r>
      <w:r>
        <w:rPr>
          <w:rFonts w:hint="eastAsia" w:ascii="仿宋" w:hAnsi="仿宋" w:eastAsia="仿宋" w:cs="仿宋_GB2312"/>
          <w:spacing w:val="-6"/>
          <w:sz w:val="28"/>
          <w:szCs w:val="28"/>
        </w:rPr>
        <w:t>的勾选“否”。勾选“是”的，</w:t>
      </w:r>
      <w:r>
        <w:rPr>
          <w:rFonts w:hint="eastAsia" w:ascii="仿宋" w:hAnsi="仿宋" w:eastAsia="仿宋" w:cs="仿宋_GB2312"/>
          <w:sz w:val="28"/>
          <w:szCs w:val="28"/>
        </w:rPr>
        <w:t>请进一步明确机构类型，如，检察机关、公安机关、司法行政机关、其他机构。</w:t>
      </w:r>
    </w:p>
    <w:p>
      <w:pPr>
        <w:keepNext w:val="0"/>
        <w:keepLines w:val="0"/>
        <w:pageBreakBefore w:val="0"/>
        <w:widowControl w:val="0"/>
        <w:kinsoku/>
        <w:wordWrap/>
        <w:overflowPunct/>
        <w:topLinePunct w:val="0"/>
        <w:autoSpaceDE/>
        <w:autoSpaceDN/>
        <w:bidi w:val="0"/>
        <w:adjustRightInd w:val="0"/>
        <w:snapToGrid/>
        <w:spacing w:line="470" w:lineRule="exact"/>
        <w:ind w:firstLine="536" w:firstLineChars="200"/>
        <w:textAlignment w:val="auto"/>
        <w:rPr>
          <w:rFonts w:hint="eastAsia" w:ascii="仿宋" w:hAnsi="仿宋" w:eastAsia="仿宋" w:cs="仿宋_GB2312"/>
          <w:sz w:val="28"/>
          <w:szCs w:val="28"/>
        </w:rPr>
      </w:pPr>
      <w:r>
        <w:rPr>
          <w:rFonts w:hint="eastAsia" w:ascii="仿宋" w:hAnsi="仿宋" w:eastAsia="仿宋" w:cs="仿宋_GB2312"/>
          <w:spacing w:val="-6"/>
          <w:sz w:val="28"/>
          <w:szCs w:val="28"/>
        </w:rPr>
        <w:t>9.以上“6、7、8”三</w:t>
      </w:r>
      <w:r>
        <w:rPr>
          <w:rFonts w:hint="eastAsia" w:ascii="仿宋" w:hAnsi="仿宋" w:eastAsia="仿宋" w:cs="仿宋_GB2312"/>
          <w:sz w:val="28"/>
          <w:szCs w:val="28"/>
        </w:rPr>
        <w:t>种情形视为线索处理完成，一是核实后问题</w:t>
      </w:r>
      <w:r>
        <w:rPr>
          <w:rFonts w:hint="eastAsia" w:ascii="仿宋" w:hAnsi="仿宋" w:eastAsia="仿宋" w:cs="仿宋_GB2312"/>
          <w:spacing w:val="-6"/>
          <w:sz w:val="28"/>
          <w:szCs w:val="28"/>
        </w:rPr>
        <w:t>或线索不属实；二是核实问题或线索属实，</w:t>
      </w:r>
      <w:r>
        <w:rPr>
          <w:rFonts w:hint="eastAsia" w:ascii="仿宋" w:hAnsi="仿宋" w:eastAsia="仿宋" w:cs="仿宋_GB2312"/>
          <w:sz w:val="28"/>
          <w:szCs w:val="28"/>
        </w:rPr>
        <w:t>并</w:t>
      </w:r>
      <w:r>
        <w:rPr>
          <w:rFonts w:hint="eastAsia" w:ascii="仿宋" w:hAnsi="仿宋" w:eastAsia="仿宋" w:cs="仿宋_GB2312"/>
          <w:spacing w:val="6"/>
          <w:sz w:val="28"/>
          <w:szCs w:val="28"/>
        </w:rPr>
        <w:t>经过行政处理已完成整改，无需立案查处的；三是已立案查处，转为由执法台账跟进；四是移送到其他机构查处的，</w:t>
      </w:r>
      <w:r>
        <w:rPr>
          <w:rFonts w:hint="eastAsia" w:ascii="仿宋" w:hAnsi="仿宋" w:eastAsia="仿宋" w:cs="仿宋_GB2312"/>
          <w:sz w:val="28"/>
          <w:szCs w:val="28"/>
        </w:rPr>
        <w:t>不需水行政主管部门立案的。如果勾选“是”，需在工作进展情况中详细说明完成的经过。</w:t>
      </w:r>
    </w:p>
    <w:p>
      <w:pPr>
        <w:keepNext w:val="0"/>
        <w:keepLines w:val="0"/>
        <w:pageBreakBefore w:val="0"/>
        <w:widowControl w:val="0"/>
        <w:kinsoku/>
        <w:wordWrap/>
        <w:overflowPunct/>
        <w:topLinePunct w:val="0"/>
        <w:autoSpaceDE/>
        <w:autoSpaceDN/>
        <w:bidi w:val="0"/>
        <w:adjustRightInd w:val="0"/>
        <w:snapToGrid/>
        <w:spacing w:line="470" w:lineRule="exact"/>
        <w:ind w:firstLine="560" w:firstLineChars="200"/>
        <w:textAlignment w:val="auto"/>
        <w:rPr>
          <w:rFonts w:hint="eastAsia" w:ascii="仿宋" w:hAnsi="仿宋" w:eastAsia="仿宋" w:cs="仿宋_GB2312"/>
          <w:sz w:val="28"/>
          <w:szCs w:val="28"/>
        </w:rPr>
      </w:pPr>
      <w:r>
        <w:rPr>
          <w:rFonts w:hint="eastAsia" w:ascii="仿宋" w:hAnsi="仿宋" w:eastAsia="仿宋" w:cs="仿宋_GB2312"/>
          <w:sz w:val="28"/>
          <w:szCs w:val="28"/>
        </w:rPr>
        <w:t>10.“备注</w:t>
      </w:r>
      <w:r>
        <w:rPr>
          <w:rFonts w:hint="eastAsia" w:ascii="仿宋" w:hAnsi="仿宋" w:eastAsia="仿宋" w:cs="仿宋_GB2312"/>
          <w:sz w:val="28"/>
          <w:szCs w:val="28"/>
          <w:lang w:val="en"/>
        </w:rPr>
        <w:t>”</w:t>
      </w:r>
      <w:r>
        <w:rPr>
          <w:rFonts w:hint="eastAsia" w:ascii="仿宋" w:hAnsi="仿宋" w:eastAsia="仿宋" w:cs="仿宋_GB2312"/>
          <w:sz w:val="28"/>
          <w:szCs w:val="28"/>
        </w:rPr>
        <w:t>栏目。填写其他需要说明的情况。</w:t>
      </w:r>
    </w:p>
    <w:p>
      <w:pPr>
        <w:keepNext w:val="0"/>
        <w:keepLines w:val="0"/>
        <w:pageBreakBefore w:val="0"/>
        <w:widowControl w:val="0"/>
        <w:kinsoku/>
        <w:wordWrap/>
        <w:overflowPunct/>
        <w:topLinePunct w:val="0"/>
        <w:autoSpaceDE/>
        <w:autoSpaceDN/>
        <w:bidi w:val="0"/>
        <w:adjustRightInd w:val="0"/>
        <w:snapToGrid/>
        <w:spacing w:line="470" w:lineRule="exact"/>
        <w:ind w:firstLine="560" w:firstLineChars="200"/>
        <w:textAlignment w:val="auto"/>
        <w:rPr>
          <w:rFonts w:hint="eastAsia" w:ascii="仿宋_GB2312" w:hAnsi="仿宋_GB2312" w:cs="仿宋_GB2312"/>
          <w:sz w:val="28"/>
          <w:szCs w:val="28"/>
        </w:rPr>
        <w:sectPr>
          <w:pgSz w:w="11906" w:h="16838"/>
          <w:pgMar w:top="1814" w:right="1474" w:bottom="1701" w:left="1474" w:header="851" w:footer="1417" w:gutter="0"/>
          <w:cols w:space="720" w:num="1"/>
          <w:docGrid w:type="lines" w:linePitch="448" w:charSpace="0"/>
        </w:sectPr>
      </w:pPr>
    </w:p>
    <w:p>
      <w:pPr>
        <w:pStyle w:val="8"/>
        <w:adjustRightInd w:val="0"/>
        <w:spacing w:line="600" w:lineRule="exact"/>
        <w:ind w:left="640" w:firstLine="0"/>
        <w:rPr>
          <w:rFonts w:hint="eastAsia" w:ascii="方正小标宋简体" w:hAnsi="方正小标宋简体" w:eastAsia="方正小标宋简体" w:cs="方正小标宋简体"/>
          <w:sz w:val="40"/>
          <w:szCs w:val="40"/>
        </w:rPr>
      </w:pPr>
      <w:r>
        <w:rPr>
          <w:rFonts w:hint="eastAsia" w:ascii="黑体" w:hAnsi="黑体" w:eastAsia="黑体" w:cs="黑体"/>
          <w:sz w:val="32"/>
          <w:szCs w:val="32"/>
        </w:rPr>
        <w:t>附件2</w:t>
      </w:r>
    </w:p>
    <w:p>
      <w:pPr>
        <w:tabs>
          <w:tab w:val="left" w:pos="6952"/>
        </w:tabs>
        <w:adjustRightInd w:val="0"/>
        <w:spacing w:line="60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执法案件台账</w:t>
      </w:r>
    </w:p>
    <w:p>
      <w:pPr>
        <w:tabs>
          <w:tab w:val="left" w:pos="6952"/>
        </w:tabs>
        <w:adjustRightInd w:val="0"/>
        <w:spacing w:line="300" w:lineRule="exact"/>
        <w:jc w:val="center"/>
        <w:rPr>
          <w:rFonts w:hint="eastAsia" w:ascii="方正小标宋简体" w:hAnsi="方正小标宋简体" w:eastAsia="方正小标宋简体" w:cs="方正小标宋简体"/>
          <w:sz w:val="40"/>
          <w:szCs w:val="40"/>
        </w:rPr>
      </w:pPr>
    </w:p>
    <w:p>
      <w:pPr>
        <w:tabs>
          <w:tab w:val="left" w:pos="6952"/>
        </w:tabs>
        <w:adjustRightInd w:val="0"/>
        <w:spacing w:line="600" w:lineRule="exact"/>
        <w:jc w:val="left"/>
        <w:rPr>
          <w:rFonts w:hint="eastAsia" w:ascii="宋体" w:hAnsi="宋体" w:eastAsia="宋体" w:cs="宋体"/>
          <w:sz w:val="24"/>
        </w:rPr>
      </w:pPr>
      <w:r>
        <w:rPr>
          <w:rFonts w:hint="eastAsia" w:ascii="宋体" w:hAnsi="宋体" w:eastAsia="宋体" w:cs="宋体"/>
          <w:sz w:val="24"/>
        </w:rPr>
        <w:t>填报单位：</w:t>
      </w:r>
      <w:r>
        <w:rPr>
          <w:rFonts w:hint="eastAsia" w:ascii="宋体" w:hAnsi="宋体" w:eastAsia="宋体" w:cs="宋体"/>
          <w:sz w:val="24"/>
          <w:u w:val="single"/>
        </w:rPr>
        <w:t xml:space="preserve">                     </w:t>
      </w:r>
    </w:p>
    <w:tbl>
      <w:tblPr>
        <w:tblStyle w:val="9"/>
        <w:tblW w:w="13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77"/>
        <w:gridCol w:w="870"/>
        <w:gridCol w:w="1265"/>
        <w:gridCol w:w="1225"/>
        <w:gridCol w:w="930"/>
        <w:gridCol w:w="1855"/>
        <w:gridCol w:w="1485"/>
        <w:gridCol w:w="1515"/>
        <w:gridCol w:w="1665"/>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870" w:hRule="atLeast"/>
          <w:jc w:val="center"/>
        </w:trPr>
        <w:tc>
          <w:tcPr>
            <w:tcW w:w="977"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序号</w:t>
            </w:r>
          </w:p>
        </w:tc>
        <w:tc>
          <w:tcPr>
            <w:tcW w:w="870"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执法</w:t>
            </w:r>
          </w:p>
          <w:p>
            <w:pPr>
              <w:spacing w:line="320" w:lineRule="exact"/>
              <w:jc w:val="center"/>
              <w:rPr>
                <w:rFonts w:hint="eastAsia" w:ascii="黑体" w:hAnsi="黑体" w:eastAsia="黑体" w:cs="黑体"/>
                <w:sz w:val="24"/>
              </w:rPr>
            </w:pPr>
            <w:r>
              <w:rPr>
                <w:rFonts w:hint="eastAsia" w:ascii="黑体" w:hAnsi="黑体" w:eastAsia="黑体" w:cs="黑体"/>
                <w:sz w:val="24"/>
              </w:rPr>
              <w:t>单位</w:t>
            </w:r>
          </w:p>
        </w:tc>
        <w:tc>
          <w:tcPr>
            <w:tcW w:w="1265"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案件名称</w:t>
            </w:r>
          </w:p>
        </w:tc>
        <w:tc>
          <w:tcPr>
            <w:tcW w:w="1225"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案件来源</w:t>
            </w:r>
          </w:p>
        </w:tc>
        <w:tc>
          <w:tcPr>
            <w:tcW w:w="930"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立案</w:t>
            </w:r>
          </w:p>
          <w:p>
            <w:pPr>
              <w:spacing w:line="320" w:lineRule="exact"/>
              <w:jc w:val="center"/>
              <w:rPr>
                <w:rFonts w:hint="eastAsia" w:ascii="黑体" w:hAnsi="黑体" w:eastAsia="黑体" w:cs="黑体"/>
                <w:sz w:val="24"/>
              </w:rPr>
            </w:pPr>
            <w:r>
              <w:rPr>
                <w:rFonts w:hint="eastAsia" w:ascii="黑体" w:hAnsi="黑体" w:eastAsia="黑体" w:cs="黑体"/>
                <w:sz w:val="24"/>
              </w:rPr>
              <w:t>时间</w:t>
            </w:r>
          </w:p>
        </w:tc>
        <w:tc>
          <w:tcPr>
            <w:tcW w:w="1855"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案件查处情况</w:t>
            </w:r>
          </w:p>
        </w:tc>
        <w:tc>
          <w:tcPr>
            <w:tcW w:w="1485"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督办单位</w:t>
            </w:r>
          </w:p>
        </w:tc>
        <w:tc>
          <w:tcPr>
            <w:tcW w:w="1515" w:type="dxa"/>
            <w:noWrap w:val="0"/>
            <w:vAlign w:val="center"/>
          </w:tcPr>
          <w:p>
            <w:pPr>
              <w:spacing w:line="320" w:lineRule="exact"/>
              <w:jc w:val="center"/>
              <w:rPr>
                <w:rFonts w:hint="eastAsia" w:ascii="黑体" w:hAnsi="黑体" w:eastAsia="黑体" w:cs="黑体"/>
                <w:sz w:val="24"/>
                <w:lang w:val="en"/>
              </w:rPr>
            </w:pPr>
            <w:r>
              <w:rPr>
                <w:rFonts w:hint="eastAsia" w:ascii="黑体" w:hAnsi="黑体" w:eastAsia="黑体" w:cs="黑体"/>
                <w:sz w:val="24"/>
                <w:lang w:val="en"/>
              </w:rPr>
              <w:t>结案时间</w:t>
            </w:r>
          </w:p>
        </w:tc>
        <w:tc>
          <w:tcPr>
            <w:tcW w:w="1665" w:type="dxa"/>
            <w:noWrap w:val="0"/>
            <w:vAlign w:val="center"/>
          </w:tcPr>
          <w:p>
            <w:pPr>
              <w:spacing w:line="320" w:lineRule="exact"/>
              <w:jc w:val="center"/>
              <w:rPr>
                <w:rFonts w:hint="eastAsia" w:ascii="黑体" w:hAnsi="黑体" w:eastAsia="黑体" w:cs="黑体"/>
                <w:sz w:val="24"/>
                <w:lang w:val="en"/>
              </w:rPr>
            </w:pPr>
            <w:r>
              <w:rPr>
                <w:rFonts w:hint="eastAsia" w:ascii="黑体" w:hAnsi="黑体" w:eastAsia="黑体" w:cs="黑体"/>
                <w:sz w:val="24"/>
                <w:lang w:val="en"/>
              </w:rPr>
              <w:t>是否申请法院强制执行</w:t>
            </w:r>
          </w:p>
        </w:tc>
        <w:tc>
          <w:tcPr>
            <w:tcW w:w="2010" w:type="dxa"/>
            <w:noWrap w:val="0"/>
            <w:vAlign w:val="center"/>
          </w:tcPr>
          <w:p>
            <w:pPr>
              <w:spacing w:line="320" w:lineRule="exact"/>
              <w:jc w:val="center"/>
              <w:rPr>
                <w:rFonts w:hint="eastAsia" w:ascii="黑体" w:hAnsi="黑体" w:eastAsia="黑体" w:cs="黑体"/>
                <w:sz w:val="24"/>
                <w:lang w:val="en"/>
              </w:rPr>
            </w:pPr>
            <w:r>
              <w:rPr>
                <w:rFonts w:hint="eastAsia" w:ascii="黑体" w:hAnsi="黑体" w:eastAsia="黑体" w:cs="黑体"/>
                <w:sz w:val="24"/>
                <w:lang w:val="en"/>
              </w:rPr>
              <w:t>是否移送检察机关提起公益诉讼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1" w:hRule="atLeast"/>
          <w:jc w:val="center"/>
        </w:trPr>
        <w:tc>
          <w:tcPr>
            <w:tcW w:w="977" w:type="dxa"/>
            <w:noWrap w:val="0"/>
            <w:vAlign w:val="center"/>
          </w:tcPr>
          <w:p>
            <w:pPr>
              <w:jc w:val="center"/>
              <w:rPr>
                <w:rFonts w:eastAsia="宋体"/>
                <w:sz w:val="24"/>
              </w:rPr>
            </w:pPr>
            <w:r>
              <w:rPr>
                <w:rFonts w:eastAsia="宋体"/>
                <w:sz w:val="24"/>
              </w:rPr>
              <w:t>1</w:t>
            </w:r>
          </w:p>
        </w:tc>
        <w:tc>
          <w:tcPr>
            <w:tcW w:w="870" w:type="dxa"/>
            <w:noWrap w:val="0"/>
            <w:vAlign w:val="center"/>
          </w:tcPr>
          <w:p>
            <w:pPr>
              <w:jc w:val="center"/>
              <w:rPr>
                <w:rFonts w:eastAsia="宋体"/>
                <w:sz w:val="28"/>
                <w:szCs w:val="28"/>
              </w:rPr>
            </w:pPr>
          </w:p>
        </w:tc>
        <w:tc>
          <w:tcPr>
            <w:tcW w:w="1265" w:type="dxa"/>
            <w:noWrap w:val="0"/>
            <w:vAlign w:val="center"/>
          </w:tcPr>
          <w:p>
            <w:pPr>
              <w:jc w:val="center"/>
              <w:rPr>
                <w:rFonts w:eastAsia="宋体"/>
                <w:sz w:val="28"/>
                <w:szCs w:val="28"/>
              </w:rPr>
            </w:pPr>
          </w:p>
        </w:tc>
        <w:tc>
          <w:tcPr>
            <w:tcW w:w="1225" w:type="dxa"/>
            <w:noWrap w:val="0"/>
            <w:vAlign w:val="center"/>
          </w:tcPr>
          <w:p>
            <w:pPr>
              <w:jc w:val="center"/>
              <w:rPr>
                <w:rFonts w:eastAsia="宋体"/>
                <w:sz w:val="28"/>
                <w:szCs w:val="28"/>
              </w:rPr>
            </w:pPr>
          </w:p>
        </w:tc>
        <w:tc>
          <w:tcPr>
            <w:tcW w:w="930" w:type="dxa"/>
            <w:noWrap w:val="0"/>
            <w:vAlign w:val="center"/>
          </w:tcPr>
          <w:p>
            <w:pPr>
              <w:jc w:val="center"/>
              <w:rPr>
                <w:rFonts w:eastAsia="宋体"/>
                <w:sz w:val="28"/>
                <w:szCs w:val="28"/>
              </w:rPr>
            </w:pPr>
          </w:p>
        </w:tc>
        <w:tc>
          <w:tcPr>
            <w:tcW w:w="1855" w:type="dxa"/>
            <w:noWrap w:val="0"/>
            <w:vAlign w:val="center"/>
          </w:tcPr>
          <w:p>
            <w:pPr>
              <w:jc w:val="center"/>
              <w:rPr>
                <w:rFonts w:eastAsia="宋体"/>
                <w:sz w:val="28"/>
                <w:szCs w:val="28"/>
              </w:rPr>
            </w:pPr>
          </w:p>
        </w:tc>
        <w:tc>
          <w:tcPr>
            <w:tcW w:w="1485" w:type="dxa"/>
            <w:noWrap w:val="0"/>
            <w:vAlign w:val="center"/>
          </w:tcPr>
          <w:p>
            <w:pPr>
              <w:jc w:val="center"/>
              <w:rPr>
                <w:rFonts w:eastAsia="宋体"/>
                <w:sz w:val="28"/>
                <w:szCs w:val="28"/>
              </w:rPr>
            </w:pPr>
          </w:p>
        </w:tc>
        <w:tc>
          <w:tcPr>
            <w:tcW w:w="1515" w:type="dxa"/>
            <w:noWrap w:val="0"/>
            <w:vAlign w:val="center"/>
          </w:tcPr>
          <w:p>
            <w:pPr>
              <w:jc w:val="center"/>
              <w:rPr>
                <w:rFonts w:eastAsia="宋体"/>
                <w:sz w:val="28"/>
                <w:szCs w:val="28"/>
              </w:rPr>
            </w:pPr>
          </w:p>
        </w:tc>
        <w:tc>
          <w:tcPr>
            <w:tcW w:w="1665" w:type="dxa"/>
            <w:noWrap w:val="0"/>
            <w:vAlign w:val="center"/>
          </w:tcPr>
          <w:p>
            <w:pPr>
              <w:jc w:val="center"/>
              <w:rPr>
                <w:rFonts w:hint="eastAsia" w:ascii="宋体" w:hAnsi="宋体" w:eastAsia="宋体" w:cs="宋体"/>
                <w:sz w:val="28"/>
                <w:szCs w:val="28"/>
              </w:rPr>
            </w:pPr>
            <w:r>
              <w:rPr>
                <w:rFonts w:hint="eastAsia" w:ascii="宋体" w:hAnsi="宋体" w:eastAsia="宋体" w:cs="宋体"/>
                <w:sz w:val="21"/>
                <w:szCs w:val="21"/>
              </w:rPr>
              <w:t>是□  否□</w:t>
            </w:r>
          </w:p>
        </w:tc>
        <w:tc>
          <w:tcPr>
            <w:tcW w:w="2010" w:type="dxa"/>
            <w:noWrap w:val="0"/>
            <w:vAlign w:val="center"/>
          </w:tcPr>
          <w:p>
            <w:pPr>
              <w:jc w:val="center"/>
              <w:rPr>
                <w:rFonts w:hint="eastAsia" w:ascii="宋体" w:hAnsi="宋体" w:eastAsia="宋体" w:cs="宋体"/>
                <w:sz w:val="28"/>
                <w:szCs w:val="28"/>
              </w:rPr>
            </w:pPr>
            <w:r>
              <w:rPr>
                <w:rFonts w:hint="eastAsia" w:ascii="宋体" w:hAnsi="宋体" w:eastAsia="宋体" w:cs="宋体"/>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1" w:hRule="atLeast"/>
          <w:jc w:val="center"/>
        </w:trPr>
        <w:tc>
          <w:tcPr>
            <w:tcW w:w="977" w:type="dxa"/>
            <w:noWrap w:val="0"/>
            <w:vAlign w:val="center"/>
          </w:tcPr>
          <w:p>
            <w:pPr>
              <w:jc w:val="center"/>
              <w:rPr>
                <w:rFonts w:eastAsia="宋体"/>
                <w:sz w:val="24"/>
              </w:rPr>
            </w:pPr>
            <w:r>
              <w:rPr>
                <w:rFonts w:eastAsia="宋体"/>
                <w:sz w:val="24"/>
              </w:rPr>
              <w:t>2</w:t>
            </w:r>
          </w:p>
        </w:tc>
        <w:tc>
          <w:tcPr>
            <w:tcW w:w="870" w:type="dxa"/>
            <w:noWrap w:val="0"/>
            <w:vAlign w:val="center"/>
          </w:tcPr>
          <w:p>
            <w:pPr>
              <w:jc w:val="center"/>
              <w:rPr>
                <w:rFonts w:eastAsia="宋体"/>
                <w:sz w:val="28"/>
                <w:szCs w:val="28"/>
              </w:rPr>
            </w:pPr>
          </w:p>
        </w:tc>
        <w:tc>
          <w:tcPr>
            <w:tcW w:w="1265" w:type="dxa"/>
            <w:noWrap w:val="0"/>
            <w:vAlign w:val="center"/>
          </w:tcPr>
          <w:p>
            <w:pPr>
              <w:jc w:val="center"/>
              <w:rPr>
                <w:rFonts w:eastAsia="宋体"/>
                <w:sz w:val="28"/>
                <w:szCs w:val="28"/>
              </w:rPr>
            </w:pPr>
          </w:p>
        </w:tc>
        <w:tc>
          <w:tcPr>
            <w:tcW w:w="1225" w:type="dxa"/>
            <w:noWrap w:val="0"/>
            <w:vAlign w:val="center"/>
          </w:tcPr>
          <w:p>
            <w:pPr>
              <w:jc w:val="center"/>
              <w:rPr>
                <w:rFonts w:eastAsia="宋体"/>
                <w:sz w:val="28"/>
                <w:szCs w:val="28"/>
              </w:rPr>
            </w:pPr>
          </w:p>
        </w:tc>
        <w:tc>
          <w:tcPr>
            <w:tcW w:w="930" w:type="dxa"/>
            <w:noWrap w:val="0"/>
            <w:vAlign w:val="center"/>
          </w:tcPr>
          <w:p>
            <w:pPr>
              <w:jc w:val="center"/>
              <w:rPr>
                <w:rFonts w:eastAsia="宋体"/>
                <w:sz w:val="28"/>
                <w:szCs w:val="28"/>
              </w:rPr>
            </w:pPr>
          </w:p>
        </w:tc>
        <w:tc>
          <w:tcPr>
            <w:tcW w:w="1855" w:type="dxa"/>
            <w:noWrap w:val="0"/>
            <w:vAlign w:val="center"/>
          </w:tcPr>
          <w:p>
            <w:pPr>
              <w:jc w:val="center"/>
              <w:rPr>
                <w:rFonts w:eastAsia="宋体"/>
                <w:sz w:val="28"/>
                <w:szCs w:val="28"/>
              </w:rPr>
            </w:pPr>
          </w:p>
        </w:tc>
        <w:tc>
          <w:tcPr>
            <w:tcW w:w="1485" w:type="dxa"/>
            <w:noWrap w:val="0"/>
            <w:vAlign w:val="center"/>
          </w:tcPr>
          <w:p>
            <w:pPr>
              <w:jc w:val="center"/>
              <w:rPr>
                <w:rFonts w:eastAsia="宋体"/>
                <w:sz w:val="28"/>
                <w:szCs w:val="28"/>
              </w:rPr>
            </w:pPr>
          </w:p>
        </w:tc>
        <w:tc>
          <w:tcPr>
            <w:tcW w:w="1515" w:type="dxa"/>
            <w:noWrap w:val="0"/>
            <w:vAlign w:val="center"/>
          </w:tcPr>
          <w:p>
            <w:pPr>
              <w:jc w:val="center"/>
              <w:rPr>
                <w:rFonts w:eastAsia="宋体"/>
                <w:sz w:val="28"/>
                <w:szCs w:val="28"/>
              </w:rPr>
            </w:pPr>
          </w:p>
        </w:tc>
        <w:tc>
          <w:tcPr>
            <w:tcW w:w="1665" w:type="dxa"/>
            <w:noWrap w:val="0"/>
            <w:vAlign w:val="center"/>
          </w:tcPr>
          <w:p>
            <w:pPr>
              <w:jc w:val="center"/>
              <w:rPr>
                <w:rFonts w:eastAsia="宋体"/>
                <w:sz w:val="28"/>
                <w:szCs w:val="28"/>
              </w:rPr>
            </w:pPr>
          </w:p>
        </w:tc>
        <w:tc>
          <w:tcPr>
            <w:tcW w:w="2010" w:type="dxa"/>
            <w:noWrap w:val="0"/>
            <w:vAlign w:val="center"/>
          </w:tcPr>
          <w:p>
            <w:pPr>
              <w:jc w:val="center"/>
              <w:rPr>
                <w:rFonts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1" w:hRule="atLeast"/>
          <w:jc w:val="center"/>
        </w:trPr>
        <w:tc>
          <w:tcPr>
            <w:tcW w:w="977" w:type="dxa"/>
            <w:noWrap w:val="0"/>
            <w:vAlign w:val="center"/>
          </w:tcPr>
          <w:p>
            <w:pPr>
              <w:jc w:val="center"/>
              <w:rPr>
                <w:rFonts w:eastAsia="宋体"/>
                <w:sz w:val="24"/>
              </w:rPr>
            </w:pPr>
            <w:r>
              <w:rPr>
                <w:rFonts w:eastAsia="宋体"/>
                <w:sz w:val="24"/>
              </w:rPr>
              <w:t>3</w:t>
            </w:r>
          </w:p>
        </w:tc>
        <w:tc>
          <w:tcPr>
            <w:tcW w:w="870" w:type="dxa"/>
            <w:noWrap w:val="0"/>
            <w:vAlign w:val="center"/>
          </w:tcPr>
          <w:p>
            <w:pPr>
              <w:jc w:val="center"/>
              <w:rPr>
                <w:rFonts w:eastAsia="宋体"/>
                <w:sz w:val="28"/>
                <w:szCs w:val="28"/>
              </w:rPr>
            </w:pPr>
          </w:p>
        </w:tc>
        <w:tc>
          <w:tcPr>
            <w:tcW w:w="1265" w:type="dxa"/>
            <w:noWrap w:val="0"/>
            <w:vAlign w:val="center"/>
          </w:tcPr>
          <w:p>
            <w:pPr>
              <w:jc w:val="center"/>
              <w:rPr>
                <w:rFonts w:eastAsia="宋体"/>
                <w:sz w:val="28"/>
                <w:szCs w:val="28"/>
              </w:rPr>
            </w:pPr>
          </w:p>
        </w:tc>
        <w:tc>
          <w:tcPr>
            <w:tcW w:w="1225" w:type="dxa"/>
            <w:noWrap w:val="0"/>
            <w:vAlign w:val="center"/>
          </w:tcPr>
          <w:p>
            <w:pPr>
              <w:jc w:val="center"/>
              <w:rPr>
                <w:rFonts w:eastAsia="宋体"/>
                <w:sz w:val="28"/>
                <w:szCs w:val="28"/>
              </w:rPr>
            </w:pPr>
          </w:p>
        </w:tc>
        <w:tc>
          <w:tcPr>
            <w:tcW w:w="930" w:type="dxa"/>
            <w:noWrap w:val="0"/>
            <w:vAlign w:val="center"/>
          </w:tcPr>
          <w:p>
            <w:pPr>
              <w:jc w:val="center"/>
              <w:rPr>
                <w:rFonts w:eastAsia="宋体"/>
                <w:sz w:val="28"/>
                <w:szCs w:val="28"/>
              </w:rPr>
            </w:pPr>
          </w:p>
        </w:tc>
        <w:tc>
          <w:tcPr>
            <w:tcW w:w="1855" w:type="dxa"/>
            <w:noWrap w:val="0"/>
            <w:vAlign w:val="center"/>
          </w:tcPr>
          <w:p>
            <w:pPr>
              <w:jc w:val="center"/>
              <w:rPr>
                <w:rFonts w:eastAsia="宋体"/>
                <w:sz w:val="28"/>
                <w:szCs w:val="28"/>
              </w:rPr>
            </w:pPr>
          </w:p>
        </w:tc>
        <w:tc>
          <w:tcPr>
            <w:tcW w:w="1485" w:type="dxa"/>
            <w:noWrap w:val="0"/>
            <w:vAlign w:val="center"/>
          </w:tcPr>
          <w:p>
            <w:pPr>
              <w:jc w:val="center"/>
              <w:rPr>
                <w:rFonts w:eastAsia="宋体"/>
                <w:sz w:val="28"/>
                <w:szCs w:val="28"/>
              </w:rPr>
            </w:pPr>
          </w:p>
        </w:tc>
        <w:tc>
          <w:tcPr>
            <w:tcW w:w="1515" w:type="dxa"/>
            <w:noWrap w:val="0"/>
            <w:vAlign w:val="center"/>
          </w:tcPr>
          <w:p>
            <w:pPr>
              <w:jc w:val="center"/>
              <w:rPr>
                <w:rFonts w:eastAsia="宋体"/>
                <w:sz w:val="28"/>
                <w:szCs w:val="28"/>
              </w:rPr>
            </w:pPr>
          </w:p>
        </w:tc>
        <w:tc>
          <w:tcPr>
            <w:tcW w:w="1665" w:type="dxa"/>
            <w:noWrap w:val="0"/>
            <w:vAlign w:val="center"/>
          </w:tcPr>
          <w:p>
            <w:pPr>
              <w:jc w:val="center"/>
              <w:rPr>
                <w:rFonts w:eastAsia="宋体"/>
                <w:sz w:val="28"/>
                <w:szCs w:val="28"/>
              </w:rPr>
            </w:pPr>
          </w:p>
        </w:tc>
        <w:tc>
          <w:tcPr>
            <w:tcW w:w="2010" w:type="dxa"/>
            <w:noWrap w:val="0"/>
            <w:vAlign w:val="center"/>
          </w:tcPr>
          <w:p>
            <w:pPr>
              <w:jc w:val="center"/>
              <w:rPr>
                <w:rFonts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1" w:hRule="atLeast"/>
          <w:jc w:val="center"/>
        </w:trPr>
        <w:tc>
          <w:tcPr>
            <w:tcW w:w="977" w:type="dxa"/>
            <w:noWrap w:val="0"/>
            <w:vAlign w:val="center"/>
          </w:tcPr>
          <w:p>
            <w:pPr>
              <w:jc w:val="center"/>
              <w:rPr>
                <w:rFonts w:eastAsia="宋体"/>
                <w:sz w:val="24"/>
              </w:rPr>
            </w:pPr>
            <w:r>
              <w:rPr>
                <w:rFonts w:eastAsia="宋体"/>
                <w:sz w:val="24"/>
              </w:rPr>
              <w:t>4</w:t>
            </w:r>
          </w:p>
        </w:tc>
        <w:tc>
          <w:tcPr>
            <w:tcW w:w="870" w:type="dxa"/>
            <w:noWrap w:val="0"/>
            <w:vAlign w:val="center"/>
          </w:tcPr>
          <w:p>
            <w:pPr>
              <w:jc w:val="center"/>
              <w:rPr>
                <w:rFonts w:eastAsia="宋体"/>
                <w:sz w:val="28"/>
                <w:szCs w:val="28"/>
              </w:rPr>
            </w:pPr>
          </w:p>
        </w:tc>
        <w:tc>
          <w:tcPr>
            <w:tcW w:w="1265" w:type="dxa"/>
            <w:noWrap w:val="0"/>
            <w:vAlign w:val="center"/>
          </w:tcPr>
          <w:p>
            <w:pPr>
              <w:jc w:val="center"/>
              <w:rPr>
                <w:rFonts w:eastAsia="宋体"/>
                <w:sz w:val="28"/>
                <w:szCs w:val="28"/>
              </w:rPr>
            </w:pPr>
          </w:p>
        </w:tc>
        <w:tc>
          <w:tcPr>
            <w:tcW w:w="1225" w:type="dxa"/>
            <w:noWrap w:val="0"/>
            <w:vAlign w:val="center"/>
          </w:tcPr>
          <w:p>
            <w:pPr>
              <w:jc w:val="center"/>
              <w:rPr>
                <w:rFonts w:eastAsia="宋体"/>
                <w:sz w:val="28"/>
                <w:szCs w:val="28"/>
              </w:rPr>
            </w:pPr>
          </w:p>
        </w:tc>
        <w:tc>
          <w:tcPr>
            <w:tcW w:w="930" w:type="dxa"/>
            <w:noWrap w:val="0"/>
            <w:vAlign w:val="center"/>
          </w:tcPr>
          <w:p>
            <w:pPr>
              <w:jc w:val="center"/>
              <w:rPr>
                <w:rFonts w:eastAsia="宋体"/>
                <w:sz w:val="28"/>
                <w:szCs w:val="28"/>
              </w:rPr>
            </w:pPr>
          </w:p>
        </w:tc>
        <w:tc>
          <w:tcPr>
            <w:tcW w:w="1855" w:type="dxa"/>
            <w:noWrap w:val="0"/>
            <w:vAlign w:val="center"/>
          </w:tcPr>
          <w:p>
            <w:pPr>
              <w:jc w:val="center"/>
              <w:rPr>
                <w:rFonts w:eastAsia="宋体"/>
                <w:sz w:val="28"/>
                <w:szCs w:val="28"/>
              </w:rPr>
            </w:pPr>
          </w:p>
        </w:tc>
        <w:tc>
          <w:tcPr>
            <w:tcW w:w="1485" w:type="dxa"/>
            <w:noWrap w:val="0"/>
            <w:vAlign w:val="center"/>
          </w:tcPr>
          <w:p>
            <w:pPr>
              <w:jc w:val="center"/>
              <w:rPr>
                <w:rFonts w:eastAsia="宋体"/>
                <w:sz w:val="28"/>
                <w:szCs w:val="28"/>
              </w:rPr>
            </w:pPr>
          </w:p>
        </w:tc>
        <w:tc>
          <w:tcPr>
            <w:tcW w:w="1515" w:type="dxa"/>
            <w:noWrap w:val="0"/>
            <w:vAlign w:val="center"/>
          </w:tcPr>
          <w:p>
            <w:pPr>
              <w:jc w:val="center"/>
              <w:rPr>
                <w:rFonts w:eastAsia="宋体"/>
                <w:sz w:val="28"/>
                <w:szCs w:val="28"/>
              </w:rPr>
            </w:pPr>
          </w:p>
        </w:tc>
        <w:tc>
          <w:tcPr>
            <w:tcW w:w="1665" w:type="dxa"/>
            <w:noWrap w:val="0"/>
            <w:vAlign w:val="center"/>
          </w:tcPr>
          <w:p>
            <w:pPr>
              <w:jc w:val="center"/>
              <w:rPr>
                <w:rFonts w:eastAsia="宋体"/>
                <w:sz w:val="28"/>
                <w:szCs w:val="28"/>
              </w:rPr>
            </w:pPr>
          </w:p>
        </w:tc>
        <w:tc>
          <w:tcPr>
            <w:tcW w:w="2010" w:type="dxa"/>
            <w:noWrap w:val="0"/>
            <w:vAlign w:val="center"/>
          </w:tcPr>
          <w:p>
            <w:pPr>
              <w:jc w:val="center"/>
              <w:rPr>
                <w:rFonts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901" w:hRule="atLeast"/>
          <w:jc w:val="center"/>
        </w:trPr>
        <w:tc>
          <w:tcPr>
            <w:tcW w:w="977" w:type="dxa"/>
            <w:noWrap w:val="0"/>
            <w:vAlign w:val="center"/>
          </w:tcPr>
          <w:p>
            <w:pPr>
              <w:jc w:val="center"/>
              <w:rPr>
                <w:rFonts w:eastAsia="宋体"/>
                <w:sz w:val="24"/>
              </w:rPr>
            </w:pPr>
            <w:r>
              <w:rPr>
                <w:rFonts w:eastAsia="宋体"/>
                <w:sz w:val="24"/>
              </w:rPr>
              <w:t>5</w:t>
            </w:r>
          </w:p>
        </w:tc>
        <w:tc>
          <w:tcPr>
            <w:tcW w:w="870" w:type="dxa"/>
            <w:noWrap w:val="0"/>
            <w:vAlign w:val="center"/>
          </w:tcPr>
          <w:p>
            <w:pPr>
              <w:jc w:val="center"/>
              <w:rPr>
                <w:rFonts w:eastAsia="宋体"/>
                <w:sz w:val="28"/>
                <w:szCs w:val="28"/>
              </w:rPr>
            </w:pPr>
          </w:p>
        </w:tc>
        <w:tc>
          <w:tcPr>
            <w:tcW w:w="1265" w:type="dxa"/>
            <w:noWrap w:val="0"/>
            <w:vAlign w:val="center"/>
          </w:tcPr>
          <w:p>
            <w:pPr>
              <w:jc w:val="center"/>
              <w:rPr>
                <w:rFonts w:eastAsia="宋体"/>
                <w:sz w:val="28"/>
                <w:szCs w:val="28"/>
              </w:rPr>
            </w:pPr>
          </w:p>
        </w:tc>
        <w:tc>
          <w:tcPr>
            <w:tcW w:w="1225" w:type="dxa"/>
            <w:noWrap w:val="0"/>
            <w:vAlign w:val="center"/>
          </w:tcPr>
          <w:p>
            <w:pPr>
              <w:jc w:val="center"/>
              <w:rPr>
                <w:rFonts w:eastAsia="宋体"/>
                <w:sz w:val="28"/>
                <w:szCs w:val="28"/>
              </w:rPr>
            </w:pPr>
          </w:p>
        </w:tc>
        <w:tc>
          <w:tcPr>
            <w:tcW w:w="930" w:type="dxa"/>
            <w:noWrap w:val="0"/>
            <w:vAlign w:val="center"/>
          </w:tcPr>
          <w:p>
            <w:pPr>
              <w:jc w:val="center"/>
              <w:rPr>
                <w:rFonts w:eastAsia="宋体"/>
                <w:sz w:val="28"/>
                <w:szCs w:val="28"/>
              </w:rPr>
            </w:pPr>
          </w:p>
        </w:tc>
        <w:tc>
          <w:tcPr>
            <w:tcW w:w="1855" w:type="dxa"/>
            <w:noWrap w:val="0"/>
            <w:vAlign w:val="center"/>
          </w:tcPr>
          <w:p>
            <w:pPr>
              <w:jc w:val="center"/>
              <w:rPr>
                <w:rFonts w:eastAsia="宋体"/>
                <w:sz w:val="28"/>
                <w:szCs w:val="28"/>
              </w:rPr>
            </w:pPr>
          </w:p>
        </w:tc>
        <w:tc>
          <w:tcPr>
            <w:tcW w:w="1485" w:type="dxa"/>
            <w:noWrap w:val="0"/>
            <w:vAlign w:val="center"/>
          </w:tcPr>
          <w:p>
            <w:pPr>
              <w:jc w:val="center"/>
              <w:rPr>
                <w:rFonts w:eastAsia="宋体"/>
                <w:sz w:val="28"/>
                <w:szCs w:val="28"/>
              </w:rPr>
            </w:pPr>
          </w:p>
        </w:tc>
        <w:tc>
          <w:tcPr>
            <w:tcW w:w="1515" w:type="dxa"/>
            <w:noWrap w:val="0"/>
            <w:vAlign w:val="center"/>
          </w:tcPr>
          <w:p>
            <w:pPr>
              <w:jc w:val="center"/>
              <w:rPr>
                <w:rFonts w:eastAsia="宋体"/>
                <w:sz w:val="28"/>
                <w:szCs w:val="28"/>
              </w:rPr>
            </w:pPr>
          </w:p>
        </w:tc>
        <w:tc>
          <w:tcPr>
            <w:tcW w:w="1665" w:type="dxa"/>
            <w:noWrap w:val="0"/>
            <w:vAlign w:val="center"/>
          </w:tcPr>
          <w:p>
            <w:pPr>
              <w:jc w:val="center"/>
              <w:rPr>
                <w:rFonts w:eastAsia="宋体"/>
                <w:sz w:val="28"/>
                <w:szCs w:val="28"/>
              </w:rPr>
            </w:pPr>
          </w:p>
        </w:tc>
        <w:tc>
          <w:tcPr>
            <w:tcW w:w="2010" w:type="dxa"/>
            <w:noWrap w:val="0"/>
            <w:vAlign w:val="center"/>
          </w:tcPr>
          <w:p>
            <w:pPr>
              <w:jc w:val="center"/>
              <w:rPr>
                <w:rFonts w:eastAsia="宋体"/>
                <w:sz w:val="28"/>
                <w:szCs w:val="28"/>
              </w:rPr>
            </w:pPr>
          </w:p>
        </w:tc>
      </w:tr>
    </w:tbl>
    <w:p>
      <w:pPr>
        <w:spacing w:line="600" w:lineRule="exact"/>
        <w:outlineLvl w:val="0"/>
        <w:rPr>
          <w:rFonts w:hint="eastAsia" w:eastAsia="宋体"/>
          <w:sz w:val="24"/>
        </w:rPr>
      </w:pPr>
      <w:r>
        <w:rPr>
          <w:rFonts w:hint="eastAsia" w:eastAsia="宋体"/>
          <w:sz w:val="24"/>
        </w:rPr>
        <w:t>单位负责人：              统计负责人：</w:t>
      </w:r>
      <w:r>
        <w:rPr>
          <w:rFonts w:hint="eastAsia" w:eastAsia="宋体"/>
          <w:sz w:val="24"/>
          <w:lang w:val="en"/>
        </w:rPr>
        <w:t xml:space="preserve">            </w:t>
      </w:r>
      <w:r>
        <w:rPr>
          <w:rFonts w:hint="eastAsia" w:eastAsia="宋体"/>
          <w:sz w:val="24"/>
        </w:rPr>
        <w:t>填表人：             报出日期：</w:t>
      </w:r>
    </w:p>
    <w:p>
      <w:pPr>
        <w:jc w:val="left"/>
        <w:rPr>
          <w:rFonts w:hint="eastAsia" w:ascii="黑体" w:hAnsi="黑体" w:eastAsia="黑体" w:cs="黑体"/>
          <w:szCs w:val="32"/>
        </w:rPr>
      </w:pPr>
      <w:r>
        <w:br w:type="page"/>
      </w:r>
      <w:r>
        <w:rPr>
          <w:rFonts w:hint="eastAsia" w:ascii="黑体" w:hAnsi="黑体" w:eastAsia="黑体" w:cs="黑体"/>
          <w:szCs w:val="32"/>
        </w:rPr>
        <w:t>附件3</w:t>
      </w:r>
    </w:p>
    <w:p>
      <w:pPr>
        <w:tabs>
          <w:tab w:val="left" w:pos="6952"/>
        </w:tabs>
        <w:adjustRightInd w:val="0"/>
        <w:spacing w:line="60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挂牌督办案件台账</w:t>
      </w:r>
    </w:p>
    <w:p>
      <w:pPr>
        <w:tabs>
          <w:tab w:val="left" w:pos="6952"/>
        </w:tabs>
        <w:adjustRightInd w:val="0"/>
        <w:spacing w:line="300" w:lineRule="exact"/>
        <w:jc w:val="center"/>
        <w:rPr>
          <w:rFonts w:hint="eastAsia" w:ascii="方正小标宋简体" w:hAnsi="方正小标宋简体" w:eastAsia="方正小标宋简体" w:cs="方正小标宋简体"/>
          <w:sz w:val="40"/>
          <w:szCs w:val="40"/>
        </w:rPr>
      </w:pPr>
    </w:p>
    <w:tbl>
      <w:tblPr>
        <w:tblStyle w:val="9"/>
        <w:tblpPr w:leftFromText="180" w:rightFromText="180" w:vertAnchor="text" w:horzAnchor="page" w:tblpX="1728" w:tblpY="816"/>
        <w:tblOverlap w:val="never"/>
        <w:tblW w:w="13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58"/>
        <w:gridCol w:w="901"/>
        <w:gridCol w:w="1730"/>
        <w:gridCol w:w="1186"/>
        <w:gridCol w:w="1795"/>
        <w:gridCol w:w="1171"/>
        <w:gridCol w:w="1617"/>
        <w:gridCol w:w="1671"/>
        <w:gridCol w:w="1471"/>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658" w:type="dxa"/>
            <w:noWrap w:val="0"/>
            <w:vAlign w:val="center"/>
          </w:tcPr>
          <w:p>
            <w:pPr>
              <w:adjustRightInd w:val="0"/>
              <w:spacing w:line="320" w:lineRule="exact"/>
              <w:jc w:val="center"/>
              <w:rPr>
                <w:rFonts w:eastAsia="黑体"/>
                <w:sz w:val="24"/>
              </w:rPr>
            </w:pPr>
            <w:r>
              <w:rPr>
                <w:rFonts w:eastAsia="黑体"/>
                <w:sz w:val="24"/>
              </w:rPr>
              <w:t>序号</w:t>
            </w:r>
          </w:p>
        </w:tc>
        <w:tc>
          <w:tcPr>
            <w:tcW w:w="901" w:type="dxa"/>
            <w:noWrap w:val="0"/>
            <w:vAlign w:val="center"/>
          </w:tcPr>
          <w:p>
            <w:pPr>
              <w:adjustRightInd w:val="0"/>
              <w:spacing w:line="320" w:lineRule="exact"/>
              <w:jc w:val="center"/>
              <w:rPr>
                <w:rFonts w:eastAsia="黑体"/>
                <w:sz w:val="24"/>
              </w:rPr>
            </w:pPr>
            <w:r>
              <w:rPr>
                <w:rFonts w:eastAsia="黑体"/>
                <w:sz w:val="24"/>
              </w:rPr>
              <w:t>挂牌</w:t>
            </w:r>
          </w:p>
          <w:p>
            <w:pPr>
              <w:adjustRightInd w:val="0"/>
              <w:spacing w:line="320" w:lineRule="exact"/>
              <w:jc w:val="center"/>
              <w:rPr>
                <w:rFonts w:eastAsia="黑体"/>
                <w:sz w:val="24"/>
              </w:rPr>
            </w:pPr>
            <w:r>
              <w:rPr>
                <w:rFonts w:eastAsia="黑体"/>
                <w:sz w:val="24"/>
              </w:rPr>
              <w:t>单位</w:t>
            </w:r>
          </w:p>
        </w:tc>
        <w:tc>
          <w:tcPr>
            <w:tcW w:w="1730" w:type="dxa"/>
            <w:noWrap w:val="0"/>
            <w:vAlign w:val="center"/>
          </w:tcPr>
          <w:p>
            <w:pPr>
              <w:adjustRightInd w:val="0"/>
              <w:spacing w:line="320" w:lineRule="exact"/>
              <w:jc w:val="center"/>
              <w:rPr>
                <w:rFonts w:eastAsia="黑体"/>
                <w:sz w:val="24"/>
              </w:rPr>
            </w:pPr>
            <w:r>
              <w:rPr>
                <w:rFonts w:eastAsia="黑体"/>
                <w:sz w:val="24"/>
              </w:rPr>
              <w:t>挂牌督办</w:t>
            </w:r>
          </w:p>
          <w:p>
            <w:pPr>
              <w:adjustRightInd w:val="0"/>
              <w:spacing w:line="320" w:lineRule="exact"/>
              <w:jc w:val="center"/>
              <w:rPr>
                <w:rFonts w:eastAsia="黑体"/>
                <w:sz w:val="24"/>
              </w:rPr>
            </w:pPr>
            <w:r>
              <w:rPr>
                <w:rFonts w:eastAsia="黑体"/>
                <w:sz w:val="24"/>
              </w:rPr>
              <w:t>案件名称</w:t>
            </w:r>
          </w:p>
        </w:tc>
        <w:tc>
          <w:tcPr>
            <w:tcW w:w="1186" w:type="dxa"/>
            <w:noWrap w:val="0"/>
            <w:vAlign w:val="center"/>
          </w:tcPr>
          <w:p>
            <w:pPr>
              <w:adjustRightInd w:val="0"/>
              <w:spacing w:line="320" w:lineRule="exact"/>
              <w:jc w:val="center"/>
              <w:rPr>
                <w:rFonts w:eastAsia="黑体"/>
                <w:sz w:val="24"/>
              </w:rPr>
            </w:pPr>
            <w:r>
              <w:rPr>
                <w:rFonts w:eastAsia="黑体"/>
                <w:sz w:val="24"/>
              </w:rPr>
              <w:t>挂牌</w:t>
            </w:r>
          </w:p>
          <w:p>
            <w:pPr>
              <w:adjustRightInd w:val="0"/>
              <w:spacing w:line="320" w:lineRule="exact"/>
              <w:jc w:val="center"/>
              <w:rPr>
                <w:rFonts w:eastAsia="黑体"/>
                <w:sz w:val="24"/>
              </w:rPr>
            </w:pPr>
            <w:r>
              <w:rPr>
                <w:rFonts w:eastAsia="黑体"/>
                <w:sz w:val="24"/>
              </w:rPr>
              <w:t>时间</w:t>
            </w:r>
          </w:p>
        </w:tc>
        <w:tc>
          <w:tcPr>
            <w:tcW w:w="1795" w:type="dxa"/>
            <w:noWrap w:val="0"/>
            <w:vAlign w:val="center"/>
          </w:tcPr>
          <w:p>
            <w:pPr>
              <w:adjustRightInd w:val="0"/>
              <w:spacing w:line="320" w:lineRule="exact"/>
              <w:jc w:val="center"/>
              <w:rPr>
                <w:rFonts w:eastAsia="黑体"/>
                <w:sz w:val="24"/>
              </w:rPr>
            </w:pPr>
            <w:r>
              <w:rPr>
                <w:rFonts w:eastAsia="黑体"/>
                <w:sz w:val="24"/>
              </w:rPr>
              <w:t>案件</w:t>
            </w:r>
          </w:p>
          <w:p>
            <w:pPr>
              <w:adjustRightInd w:val="0"/>
              <w:spacing w:line="320" w:lineRule="exact"/>
              <w:jc w:val="center"/>
              <w:rPr>
                <w:rFonts w:eastAsia="黑体"/>
                <w:sz w:val="24"/>
              </w:rPr>
            </w:pPr>
            <w:r>
              <w:rPr>
                <w:rFonts w:eastAsia="黑体"/>
                <w:sz w:val="24"/>
              </w:rPr>
              <w:t>基本情况</w:t>
            </w:r>
          </w:p>
        </w:tc>
        <w:tc>
          <w:tcPr>
            <w:tcW w:w="1171" w:type="dxa"/>
            <w:noWrap w:val="0"/>
            <w:vAlign w:val="center"/>
          </w:tcPr>
          <w:p>
            <w:pPr>
              <w:adjustRightInd w:val="0"/>
              <w:spacing w:line="320" w:lineRule="exact"/>
              <w:jc w:val="center"/>
              <w:rPr>
                <w:rFonts w:eastAsia="黑体"/>
                <w:sz w:val="24"/>
              </w:rPr>
            </w:pPr>
            <w:r>
              <w:rPr>
                <w:rFonts w:eastAsia="黑体"/>
                <w:sz w:val="24"/>
              </w:rPr>
              <w:t>执法</w:t>
            </w:r>
          </w:p>
          <w:p>
            <w:pPr>
              <w:adjustRightInd w:val="0"/>
              <w:spacing w:line="320" w:lineRule="exact"/>
              <w:jc w:val="center"/>
              <w:rPr>
                <w:rFonts w:eastAsia="黑体"/>
                <w:sz w:val="24"/>
              </w:rPr>
            </w:pPr>
            <w:r>
              <w:rPr>
                <w:rFonts w:eastAsia="黑体"/>
                <w:sz w:val="24"/>
              </w:rPr>
              <w:t>单位</w:t>
            </w:r>
          </w:p>
        </w:tc>
        <w:tc>
          <w:tcPr>
            <w:tcW w:w="1617" w:type="dxa"/>
            <w:noWrap w:val="0"/>
            <w:vAlign w:val="center"/>
          </w:tcPr>
          <w:p>
            <w:pPr>
              <w:adjustRightInd w:val="0"/>
              <w:spacing w:line="320" w:lineRule="exact"/>
              <w:jc w:val="center"/>
              <w:rPr>
                <w:rFonts w:eastAsia="黑体"/>
                <w:sz w:val="24"/>
              </w:rPr>
            </w:pPr>
            <w:r>
              <w:rPr>
                <w:rFonts w:eastAsia="黑体"/>
                <w:sz w:val="24"/>
              </w:rPr>
              <w:t>当事人名称</w:t>
            </w:r>
          </w:p>
        </w:tc>
        <w:tc>
          <w:tcPr>
            <w:tcW w:w="1671" w:type="dxa"/>
            <w:noWrap w:val="0"/>
            <w:vAlign w:val="center"/>
          </w:tcPr>
          <w:p>
            <w:pPr>
              <w:adjustRightInd w:val="0"/>
              <w:spacing w:line="320" w:lineRule="exact"/>
              <w:jc w:val="center"/>
              <w:rPr>
                <w:rFonts w:eastAsia="黑体"/>
                <w:sz w:val="24"/>
              </w:rPr>
            </w:pPr>
            <w:r>
              <w:rPr>
                <w:rFonts w:eastAsia="黑体"/>
                <w:sz w:val="24"/>
              </w:rPr>
              <w:t>督办要求</w:t>
            </w:r>
          </w:p>
        </w:tc>
        <w:tc>
          <w:tcPr>
            <w:tcW w:w="1471" w:type="dxa"/>
            <w:noWrap w:val="0"/>
            <w:vAlign w:val="center"/>
          </w:tcPr>
          <w:p>
            <w:pPr>
              <w:adjustRightInd w:val="0"/>
              <w:spacing w:line="320" w:lineRule="exact"/>
              <w:jc w:val="center"/>
              <w:rPr>
                <w:rFonts w:eastAsia="黑体"/>
                <w:sz w:val="24"/>
              </w:rPr>
            </w:pPr>
            <w:r>
              <w:rPr>
                <w:rFonts w:eastAsia="黑体"/>
                <w:sz w:val="24"/>
              </w:rPr>
              <w:t>整改进展</w:t>
            </w:r>
          </w:p>
        </w:tc>
        <w:tc>
          <w:tcPr>
            <w:tcW w:w="1185" w:type="dxa"/>
            <w:noWrap w:val="0"/>
            <w:vAlign w:val="center"/>
          </w:tcPr>
          <w:p>
            <w:pPr>
              <w:adjustRightInd w:val="0"/>
              <w:spacing w:line="320" w:lineRule="exact"/>
              <w:jc w:val="center"/>
              <w:rPr>
                <w:rFonts w:eastAsia="黑体"/>
                <w:sz w:val="24"/>
              </w:rPr>
            </w:pPr>
            <w:r>
              <w:rPr>
                <w:rFonts w:eastAsia="黑体"/>
                <w:sz w:val="24"/>
              </w:rPr>
              <w:t>解除挂牌督办时间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60" w:hRule="atLeast"/>
        </w:trPr>
        <w:tc>
          <w:tcPr>
            <w:tcW w:w="658" w:type="dxa"/>
            <w:noWrap w:val="0"/>
            <w:vAlign w:val="center"/>
          </w:tcPr>
          <w:p>
            <w:pPr>
              <w:adjustRightInd w:val="0"/>
              <w:spacing w:line="320" w:lineRule="exact"/>
              <w:jc w:val="center"/>
              <w:rPr>
                <w:sz w:val="24"/>
              </w:rPr>
            </w:pPr>
            <w:r>
              <w:rPr>
                <w:sz w:val="24"/>
              </w:rPr>
              <w:t>1</w:t>
            </w:r>
          </w:p>
        </w:tc>
        <w:tc>
          <w:tcPr>
            <w:tcW w:w="901" w:type="dxa"/>
            <w:noWrap w:val="0"/>
            <w:vAlign w:val="top"/>
          </w:tcPr>
          <w:p>
            <w:pPr>
              <w:adjustRightInd w:val="0"/>
              <w:spacing w:line="320" w:lineRule="exact"/>
              <w:rPr>
                <w:sz w:val="24"/>
              </w:rPr>
            </w:pPr>
          </w:p>
        </w:tc>
        <w:tc>
          <w:tcPr>
            <w:tcW w:w="1730" w:type="dxa"/>
            <w:noWrap w:val="0"/>
            <w:vAlign w:val="top"/>
          </w:tcPr>
          <w:p>
            <w:pPr>
              <w:adjustRightInd w:val="0"/>
              <w:spacing w:line="320" w:lineRule="exact"/>
              <w:rPr>
                <w:sz w:val="24"/>
              </w:rPr>
            </w:pPr>
          </w:p>
        </w:tc>
        <w:tc>
          <w:tcPr>
            <w:tcW w:w="1186" w:type="dxa"/>
            <w:noWrap w:val="0"/>
            <w:vAlign w:val="top"/>
          </w:tcPr>
          <w:p>
            <w:pPr>
              <w:adjustRightInd w:val="0"/>
              <w:spacing w:line="320" w:lineRule="exact"/>
              <w:rPr>
                <w:sz w:val="24"/>
              </w:rPr>
            </w:pPr>
          </w:p>
        </w:tc>
        <w:tc>
          <w:tcPr>
            <w:tcW w:w="1795" w:type="dxa"/>
            <w:noWrap w:val="0"/>
            <w:vAlign w:val="top"/>
          </w:tcPr>
          <w:p>
            <w:pPr>
              <w:adjustRightInd w:val="0"/>
              <w:spacing w:line="320" w:lineRule="exact"/>
              <w:rPr>
                <w:sz w:val="24"/>
              </w:rPr>
            </w:pPr>
          </w:p>
        </w:tc>
        <w:tc>
          <w:tcPr>
            <w:tcW w:w="1171" w:type="dxa"/>
            <w:noWrap w:val="0"/>
            <w:vAlign w:val="top"/>
          </w:tcPr>
          <w:p>
            <w:pPr>
              <w:adjustRightInd w:val="0"/>
              <w:spacing w:line="320" w:lineRule="exact"/>
              <w:rPr>
                <w:sz w:val="24"/>
              </w:rPr>
            </w:pPr>
          </w:p>
        </w:tc>
        <w:tc>
          <w:tcPr>
            <w:tcW w:w="1617" w:type="dxa"/>
            <w:noWrap w:val="0"/>
            <w:vAlign w:val="top"/>
          </w:tcPr>
          <w:p>
            <w:pPr>
              <w:adjustRightInd w:val="0"/>
              <w:spacing w:line="320" w:lineRule="exact"/>
              <w:rPr>
                <w:sz w:val="24"/>
              </w:rPr>
            </w:pPr>
          </w:p>
        </w:tc>
        <w:tc>
          <w:tcPr>
            <w:tcW w:w="1671" w:type="dxa"/>
            <w:noWrap w:val="0"/>
            <w:vAlign w:val="top"/>
          </w:tcPr>
          <w:p>
            <w:pPr>
              <w:adjustRightInd w:val="0"/>
              <w:spacing w:line="320" w:lineRule="exact"/>
              <w:rPr>
                <w:sz w:val="24"/>
              </w:rPr>
            </w:pPr>
          </w:p>
        </w:tc>
        <w:tc>
          <w:tcPr>
            <w:tcW w:w="1471" w:type="dxa"/>
            <w:noWrap w:val="0"/>
            <w:vAlign w:val="top"/>
          </w:tcPr>
          <w:p>
            <w:pPr>
              <w:adjustRightInd w:val="0"/>
              <w:spacing w:line="320" w:lineRule="exact"/>
              <w:rPr>
                <w:sz w:val="24"/>
              </w:rPr>
            </w:pPr>
          </w:p>
        </w:tc>
        <w:tc>
          <w:tcPr>
            <w:tcW w:w="1185" w:type="dxa"/>
            <w:noWrap w:val="0"/>
            <w:vAlign w:val="top"/>
          </w:tcPr>
          <w:p>
            <w:pPr>
              <w:adjustRightInd w:val="0"/>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60" w:hRule="atLeast"/>
        </w:trPr>
        <w:tc>
          <w:tcPr>
            <w:tcW w:w="658" w:type="dxa"/>
            <w:noWrap w:val="0"/>
            <w:vAlign w:val="center"/>
          </w:tcPr>
          <w:p>
            <w:pPr>
              <w:adjustRightInd w:val="0"/>
              <w:spacing w:line="320" w:lineRule="exact"/>
              <w:jc w:val="center"/>
              <w:rPr>
                <w:sz w:val="24"/>
              </w:rPr>
            </w:pPr>
            <w:r>
              <w:rPr>
                <w:sz w:val="24"/>
              </w:rPr>
              <w:t>2</w:t>
            </w:r>
          </w:p>
        </w:tc>
        <w:tc>
          <w:tcPr>
            <w:tcW w:w="901" w:type="dxa"/>
            <w:noWrap w:val="0"/>
            <w:vAlign w:val="top"/>
          </w:tcPr>
          <w:p>
            <w:pPr>
              <w:adjustRightInd w:val="0"/>
              <w:spacing w:line="320" w:lineRule="exact"/>
              <w:rPr>
                <w:sz w:val="24"/>
              </w:rPr>
            </w:pPr>
          </w:p>
        </w:tc>
        <w:tc>
          <w:tcPr>
            <w:tcW w:w="1730" w:type="dxa"/>
            <w:noWrap w:val="0"/>
            <w:vAlign w:val="top"/>
          </w:tcPr>
          <w:p>
            <w:pPr>
              <w:adjustRightInd w:val="0"/>
              <w:spacing w:line="320" w:lineRule="exact"/>
              <w:rPr>
                <w:sz w:val="24"/>
              </w:rPr>
            </w:pPr>
          </w:p>
        </w:tc>
        <w:tc>
          <w:tcPr>
            <w:tcW w:w="1186" w:type="dxa"/>
            <w:noWrap w:val="0"/>
            <w:vAlign w:val="top"/>
          </w:tcPr>
          <w:p>
            <w:pPr>
              <w:adjustRightInd w:val="0"/>
              <w:spacing w:line="320" w:lineRule="exact"/>
              <w:rPr>
                <w:sz w:val="24"/>
              </w:rPr>
            </w:pPr>
          </w:p>
        </w:tc>
        <w:tc>
          <w:tcPr>
            <w:tcW w:w="1795" w:type="dxa"/>
            <w:noWrap w:val="0"/>
            <w:vAlign w:val="top"/>
          </w:tcPr>
          <w:p>
            <w:pPr>
              <w:adjustRightInd w:val="0"/>
              <w:spacing w:line="320" w:lineRule="exact"/>
              <w:rPr>
                <w:sz w:val="24"/>
              </w:rPr>
            </w:pPr>
          </w:p>
        </w:tc>
        <w:tc>
          <w:tcPr>
            <w:tcW w:w="1171" w:type="dxa"/>
            <w:noWrap w:val="0"/>
            <w:vAlign w:val="top"/>
          </w:tcPr>
          <w:p>
            <w:pPr>
              <w:adjustRightInd w:val="0"/>
              <w:spacing w:line="320" w:lineRule="exact"/>
              <w:rPr>
                <w:sz w:val="24"/>
              </w:rPr>
            </w:pPr>
          </w:p>
        </w:tc>
        <w:tc>
          <w:tcPr>
            <w:tcW w:w="1617" w:type="dxa"/>
            <w:noWrap w:val="0"/>
            <w:vAlign w:val="top"/>
          </w:tcPr>
          <w:p>
            <w:pPr>
              <w:adjustRightInd w:val="0"/>
              <w:spacing w:line="320" w:lineRule="exact"/>
              <w:rPr>
                <w:sz w:val="24"/>
              </w:rPr>
            </w:pPr>
          </w:p>
        </w:tc>
        <w:tc>
          <w:tcPr>
            <w:tcW w:w="1671" w:type="dxa"/>
            <w:noWrap w:val="0"/>
            <w:vAlign w:val="top"/>
          </w:tcPr>
          <w:p>
            <w:pPr>
              <w:adjustRightInd w:val="0"/>
              <w:spacing w:line="320" w:lineRule="exact"/>
              <w:rPr>
                <w:sz w:val="24"/>
              </w:rPr>
            </w:pPr>
          </w:p>
        </w:tc>
        <w:tc>
          <w:tcPr>
            <w:tcW w:w="1471" w:type="dxa"/>
            <w:noWrap w:val="0"/>
            <w:vAlign w:val="top"/>
          </w:tcPr>
          <w:p>
            <w:pPr>
              <w:adjustRightInd w:val="0"/>
              <w:spacing w:line="320" w:lineRule="exact"/>
              <w:rPr>
                <w:sz w:val="24"/>
              </w:rPr>
            </w:pPr>
          </w:p>
        </w:tc>
        <w:tc>
          <w:tcPr>
            <w:tcW w:w="1185" w:type="dxa"/>
            <w:noWrap w:val="0"/>
            <w:vAlign w:val="top"/>
          </w:tcPr>
          <w:p>
            <w:pPr>
              <w:adjustRightInd w:val="0"/>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60" w:hRule="atLeast"/>
        </w:trPr>
        <w:tc>
          <w:tcPr>
            <w:tcW w:w="658" w:type="dxa"/>
            <w:noWrap w:val="0"/>
            <w:vAlign w:val="center"/>
          </w:tcPr>
          <w:p>
            <w:pPr>
              <w:adjustRightInd w:val="0"/>
              <w:spacing w:line="320" w:lineRule="exact"/>
              <w:jc w:val="center"/>
              <w:rPr>
                <w:sz w:val="24"/>
              </w:rPr>
            </w:pPr>
            <w:r>
              <w:rPr>
                <w:sz w:val="24"/>
              </w:rPr>
              <w:t>3</w:t>
            </w:r>
          </w:p>
        </w:tc>
        <w:tc>
          <w:tcPr>
            <w:tcW w:w="901" w:type="dxa"/>
            <w:noWrap w:val="0"/>
            <w:vAlign w:val="top"/>
          </w:tcPr>
          <w:p>
            <w:pPr>
              <w:adjustRightInd w:val="0"/>
              <w:spacing w:line="320" w:lineRule="exact"/>
              <w:rPr>
                <w:sz w:val="24"/>
              </w:rPr>
            </w:pPr>
          </w:p>
        </w:tc>
        <w:tc>
          <w:tcPr>
            <w:tcW w:w="1730" w:type="dxa"/>
            <w:noWrap w:val="0"/>
            <w:vAlign w:val="top"/>
          </w:tcPr>
          <w:p>
            <w:pPr>
              <w:adjustRightInd w:val="0"/>
              <w:spacing w:line="320" w:lineRule="exact"/>
              <w:rPr>
                <w:sz w:val="24"/>
              </w:rPr>
            </w:pPr>
          </w:p>
        </w:tc>
        <w:tc>
          <w:tcPr>
            <w:tcW w:w="1186" w:type="dxa"/>
            <w:noWrap w:val="0"/>
            <w:vAlign w:val="top"/>
          </w:tcPr>
          <w:p>
            <w:pPr>
              <w:adjustRightInd w:val="0"/>
              <w:spacing w:line="320" w:lineRule="exact"/>
              <w:rPr>
                <w:sz w:val="24"/>
              </w:rPr>
            </w:pPr>
          </w:p>
        </w:tc>
        <w:tc>
          <w:tcPr>
            <w:tcW w:w="1795" w:type="dxa"/>
            <w:noWrap w:val="0"/>
            <w:vAlign w:val="top"/>
          </w:tcPr>
          <w:p>
            <w:pPr>
              <w:adjustRightInd w:val="0"/>
              <w:spacing w:line="320" w:lineRule="exact"/>
              <w:rPr>
                <w:sz w:val="24"/>
              </w:rPr>
            </w:pPr>
          </w:p>
        </w:tc>
        <w:tc>
          <w:tcPr>
            <w:tcW w:w="1171" w:type="dxa"/>
            <w:noWrap w:val="0"/>
            <w:vAlign w:val="top"/>
          </w:tcPr>
          <w:p>
            <w:pPr>
              <w:adjustRightInd w:val="0"/>
              <w:spacing w:line="320" w:lineRule="exact"/>
              <w:rPr>
                <w:sz w:val="24"/>
              </w:rPr>
            </w:pPr>
          </w:p>
        </w:tc>
        <w:tc>
          <w:tcPr>
            <w:tcW w:w="1617" w:type="dxa"/>
            <w:noWrap w:val="0"/>
            <w:vAlign w:val="top"/>
          </w:tcPr>
          <w:p>
            <w:pPr>
              <w:adjustRightInd w:val="0"/>
              <w:spacing w:line="320" w:lineRule="exact"/>
              <w:rPr>
                <w:sz w:val="24"/>
              </w:rPr>
            </w:pPr>
          </w:p>
        </w:tc>
        <w:tc>
          <w:tcPr>
            <w:tcW w:w="1671" w:type="dxa"/>
            <w:noWrap w:val="0"/>
            <w:vAlign w:val="top"/>
          </w:tcPr>
          <w:p>
            <w:pPr>
              <w:adjustRightInd w:val="0"/>
              <w:spacing w:line="320" w:lineRule="exact"/>
              <w:rPr>
                <w:sz w:val="24"/>
              </w:rPr>
            </w:pPr>
          </w:p>
        </w:tc>
        <w:tc>
          <w:tcPr>
            <w:tcW w:w="1471" w:type="dxa"/>
            <w:noWrap w:val="0"/>
            <w:vAlign w:val="top"/>
          </w:tcPr>
          <w:p>
            <w:pPr>
              <w:adjustRightInd w:val="0"/>
              <w:spacing w:line="320" w:lineRule="exact"/>
              <w:rPr>
                <w:sz w:val="24"/>
              </w:rPr>
            </w:pPr>
          </w:p>
        </w:tc>
        <w:tc>
          <w:tcPr>
            <w:tcW w:w="1185" w:type="dxa"/>
            <w:noWrap w:val="0"/>
            <w:vAlign w:val="top"/>
          </w:tcPr>
          <w:p>
            <w:pPr>
              <w:adjustRightInd w:val="0"/>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60" w:hRule="atLeast"/>
        </w:trPr>
        <w:tc>
          <w:tcPr>
            <w:tcW w:w="658" w:type="dxa"/>
            <w:noWrap w:val="0"/>
            <w:vAlign w:val="center"/>
          </w:tcPr>
          <w:p>
            <w:pPr>
              <w:adjustRightInd w:val="0"/>
              <w:spacing w:line="320" w:lineRule="exact"/>
              <w:jc w:val="center"/>
              <w:rPr>
                <w:sz w:val="24"/>
              </w:rPr>
            </w:pPr>
            <w:r>
              <w:rPr>
                <w:sz w:val="24"/>
              </w:rPr>
              <w:t>4</w:t>
            </w:r>
          </w:p>
        </w:tc>
        <w:tc>
          <w:tcPr>
            <w:tcW w:w="901" w:type="dxa"/>
            <w:noWrap w:val="0"/>
            <w:vAlign w:val="top"/>
          </w:tcPr>
          <w:p>
            <w:pPr>
              <w:adjustRightInd w:val="0"/>
              <w:spacing w:line="320" w:lineRule="exact"/>
              <w:rPr>
                <w:sz w:val="24"/>
              </w:rPr>
            </w:pPr>
          </w:p>
        </w:tc>
        <w:tc>
          <w:tcPr>
            <w:tcW w:w="1730" w:type="dxa"/>
            <w:noWrap w:val="0"/>
            <w:vAlign w:val="top"/>
          </w:tcPr>
          <w:p>
            <w:pPr>
              <w:adjustRightInd w:val="0"/>
              <w:spacing w:line="320" w:lineRule="exact"/>
              <w:rPr>
                <w:sz w:val="24"/>
              </w:rPr>
            </w:pPr>
          </w:p>
        </w:tc>
        <w:tc>
          <w:tcPr>
            <w:tcW w:w="1186" w:type="dxa"/>
            <w:noWrap w:val="0"/>
            <w:vAlign w:val="top"/>
          </w:tcPr>
          <w:p>
            <w:pPr>
              <w:adjustRightInd w:val="0"/>
              <w:spacing w:line="320" w:lineRule="exact"/>
              <w:rPr>
                <w:sz w:val="24"/>
              </w:rPr>
            </w:pPr>
          </w:p>
        </w:tc>
        <w:tc>
          <w:tcPr>
            <w:tcW w:w="1795" w:type="dxa"/>
            <w:noWrap w:val="0"/>
            <w:vAlign w:val="top"/>
          </w:tcPr>
          <w:p>
            <w:pPr>
              <w:adjustRightInd w:val="0"/>
              <w:spacing w:line="320" w:lineRule="exact"/>
              <w:rPr>
                <w:sz w:val="24"/>
              </w:rPr>
            </w:pPr>
          </w:p>
        </w:tc>
        <w:tc>
          <w:tcPr>
            <w:tcW w:w="1171" w:type="dxa"/>
            <w:noWrap w:val="0"/>
            <w:vAlign w:val="top"/>
          </w:tcPr>
          <w:p>
            <w:pPr>
              <w:adjustRightInd w:val="0"/>
              <w:spacing w:line="320" w:lineRule="exact"/>
              <w:rPr>
                <w:sz w:val="24"/>
              </w:rPr>
            </w:pPr>
          </w:p>
        </w:tc>
        <w:tc>
          <w:tcPr>
            <w:tcW w:w="1617" w:type="dxa"/>
            <w:noWrap w:val="0"/>
            <w:vAlign w:val="top"/>
          </w:tcPr>
          <w:p>
            <w:pPr>
              <w:adjustRightInd w:val="0"/>
              <w:spacing w:line="320" w:lineRule="exact"/>
              <w:rPr>
                <w:sz w:val="24"/>
              </w:rPr>
            </w:pPr>
          </w:p>
        </w:tc>
        <w:tc>
          <w:tcPr>
            <w:tcW w:w="1671" w:type="dxa"/>
            <w:noWrap w:val="0"/>
            <w:vAlign w:val="top"/>
          </w:tcPr>
          <w:p>
            <w:pPr>
              <w:adjustRightInd w:val="0"/>
              <w:spacing w:line="320" w:lineRule="exact"/>
              <w:rPr>
                <w:sz w:val="24"/>
              </w:rPr>
            </w:pPr>
          </w:p>
        </w:tc>
        <w:tc>
          <w:tcPr>
            <w:tcW w:w="1471" w:type="dxa"/>
            <w:noWrap w:val="0"/>
            <w:vAlign w:val="top"/>
          </w:tcPr>
          <w:p>
            <w:pPr>
              <w:adjustRightInd w:val="0"/>
              <w:spacing w:line="320" w:lineRule="exact"/>
              <w:rPr>
                <w:sz w:val="24"/>
              </w:rPr>
            </w:pPr>
          </w:p>
        </w:tc>
        <w:tc>
          <w:tcPr>
            <w:tcW w:w="1185" w:type="dxa"/>
            <w:noWrap w:val="0"/>
            <w:vAlign w:val="top"/>
          </w:tcPr>
          <w:p>
            <w:pPr>
              <w:adjustRightInd w:val="0"/>
              <w:spacing w:line="32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60" w:hRule="atLeast"/>
        </w:trPr>
        <w:tc>
          <w:tcPr>
            <w:tcW w:w="658" w:type="dxa"/>
            <w:noWrap w:val="0"/>
            <w:vAlign w:val="center"/>
          </w:tcPr>
          <w:p>
            <w:pPr>
              <w:adjustRightInd w:val="0"/>
              <w:spacing w:line="320" w:lineRule="exact"/>
              <w:jc w:val="center"/>
              <w:rPr>
                <w:sz w:val="24"/>
              </w:rPr>
            </w:pPr>
            <w:r>
              <w:rPr>
                <w:sz w:val="24"/>
              </w:rPr>
              <w:t>5</w:t>
            </w:r>
          </w:p>
        </w:tc>
        <w:tc>
          <w:tcPr>
            <w:tcW w:w="901" w:type="dxa"/>
            <w:noWrap w:val="0"/>
            <w:vAlign w:val="top"/>
          </w:tcPr>
          <w:p>
            <w:pPr>
              <w:adjustRightInd w:val="0"/>
              <w:spacing w:line="320" w:lineRule="exact"/>
              <w:rPr>
                <w:sz w:val="24"/>
              </w:rPr>
            </w:pPr>
          </w:p>
        </w:tc>
        <w:tc>
          <w:tcPr>
            <w:tcW w:w="1730" w:type="dxa"/>
            <w:noWrap w:val="0"/>
            <w:vAlign w:val="top"/>
          </w:tcPr>
          <w:p>
            <w:pPr>
              <w:adjustRightInd w:val="0"/>
              <w:spacing w:line="320" w:lineRule="exact"/>
              <w:rPr>
                <w:sz w:val="24"/>
              </w:rPr>
            </w:pPr>
          </w:p>
        </w:tc>
        <w:tc>
          <w:tcPr>
            <w:tcW w:w="1186" w:type="dxa"/>
            <w:noWrap w:val="0"/>
            <w:vAlign w:val="top"/>
          </w:tcPr>
          <w:p>
            <w:pPr>
              <w:adjustRightInd w:val="0"/>
              <w:spacing w:line="320" w:lineRule="exact"/>
              <w:rPr>
                <w:sz w:val="24"/>
              </w:rPr>
            </w:pPr>
          </w:p>
        </w:tc>
        <w:tc>
          <w:tcPr>
            <w:tcW w:w="1795" w:type="dxa"/>
            <w:noWrap w:val="0"/>
            <w:vAlign w:val="top"/>
          </w:tcPr>
          <w:p>
            <w:pPr>
              <w:adjustRightInd w:val="0"/>
              <w:spacing w:line="320" w:lineRule="exact"/>
              <w:rPr>
                <w:sz w:val="24"/>
              </w:rPr>
            </w:pPr>
          </w:p>
        </w:tc>
        <w:tc>
          <w:tcPr>
            <w:tcW w:w="1171" w:type="dxa"/>
            <w:noWrap w:val="0"/>
            <w:vAlign w:val="top"/>
          </w:tcPr>
          <w:p>
            <w:pPr>
              <w:adjustRightInd w:val="0"/>
              <w:spacing w:line="320" w:lineRule="exact"/>
              <w:rPr>
                <w:sz w:val="24"/>
              </w:rPr>
            </w:pPr>
          </w:p>
        </w:tc>
        <w:tc>
          <w:tcPr>
            <w:tcW w:w="1617" w:type="dxa"/>
            <w:noWrap w:val="0"/>
            <w:vAlign w:val="top"/>
          </w:tcPr>
          <w:p>
            <w:pPr>
              <w:adjustRightInd w:val="0"/>
              <w:spacing w:line="320" w:lineRule="exact"/>
              <w:rPr>
                <w:sz w:val="24"/>
              </w:rPr>
            </w:pPr>
          </w:p>
        </w:tc>
        <w:tc>
          <w:tcPr>
            <w:tcW w:w="1671" w:type="dxa"/>
            <w:noWrap w:val="0"/>
            <w:vAlign w:val="top"/>
          </w:tcPr>
          <w:p>
            <w:pPr>
              <w:adjustRightInd w:val="0"/>
              <w:spacing w:line="320" w:lineRule="exact"/>
              <w:rPr>
                <w:sz w:val="24"/>
              </w:rPr>
            </w:pPr>
          </w:p>
        </w:tc>
        <w:tc>
          <w:tcPr>
            <w:tcW w:w="1471" w:type="dxa"/>
            <w:noWrap w:val="0"/>
            <w:vAlign w:val="top"/>
          </w:tcPr>
          <w:p>
            <w:pPr>
              <w:adjustRightInd w:val="0"/>
              <w:spacing w:line="320" w:lineRule="exact"/>
              <w:rPr>
                <w:sz w:val="24"/>
              </w:rPr>
            </w:pPr>
          </w:p>
        </w:tc>
        <w:tc>
          <w:tcPr>
            <w:tcW w:w="1185" w:type="dxa"/>
            <w:noWrap w:val="0"/>
            <w:vAlign w:val="top"/>
          </w:tcPr>
          <w:p>
            <w:pPr>
              <w:adjustRightInd w:val="0"/>
              <w:spacing w:line="320" w:lineRule="exact"/>
              <w:rPr>
                <w:sz w:val="24"/>
              </w:rPr>
            </w:pPr>
          </w:p>
        </w:tc>
      </w:tr>
    </w:tbl>
    <w:p>
      <w:pPr>
        <w:adjustRightInd w:val="0"/>
        <w:spacing w:line="400" w:lineRule="exact"/>
        <w:outlineLvl w:val="0"/>
        <w:rPr>
          <w:rFonts w:hint="eastAsia" w:ascii="宋体" w:hAnsi="宋体" w:eastAsia="宋体" w:cs="宋体"/>
          <w:sz w:val="28"/>
          <w:szCs w:val="28"/>
        </w:rPr>
      </w:pPr>
      <w:r>
        <w:rPr>
          <w:rFonts w:hint="eastAsia" w:ascii="宋体" w:hAnsi="宋体" w:eastAsia="宋体" w:cs="宋体"/>
          <w:sz w:val="24"/>
        </w:rPr>
        <w:t>填报单位：</w:t>
      </w:r>
      <w:r>
        <w:rPr>
          <w:rFonts w:hint="eastAsia" w:ascii="楷体_GB2312" w:hAnsi="楷体_GB2312" w:eastAsia="楷体_GB2312" w:cs="楷体_GB2312"/>
          <w:sz w:val="28"/>
          <w:szCs w:val="28"/>
          <w:u w:val="single"/>
        </w:rPr>
        <w:t xml:space="preserve">                     </w:t>
      </w:r>
    </w:p>
    <w:p>
      <w:pPr>
        <w:spacing w:line="600" w:lineRule="exact"/>
        <w:outlineLvl w:val="0"/>
        <w:rPr>
          <w:rFonts w:eastAsia="宋体"/>
          <w:sz w:val="24"/>
        </w:rPr>
      </w:pPr>
      <w:r>
        <w:rPr>
          <w:rFonts w:hint="eastAsia" w:eastAsia="宋体"/>
          <w:sz w:val="24"/>
        </w:rPr>
        <w:t>单位负责人：              统计负责人：</w:t>
      </w:r>
      <w:r>
        <w:rPr>
          <w:rFonts w:hint="eastAsia" w:eastAsia="宋体"/>
          <w:sz w:val="24"/>
          <w:lang w:val="en"/>
        </w:rPr>
        <w:t xml:space="preserve">            </w:t>
      </w:r>
      <w:r>
        <w:rPr>
          <w:rFonts w:hint="eastAsia" w:eastAsia="宋体"/>
          <w:sz w:val="24"/>
        </w:rPr>
        <w:t>填表人：             报出日期：</w:t>
      </w:r>
    </w:p>
    <w:p>
      <w:pPr>
        <w:adjustRightInd w:val="0"/>
        <w:spacing w:line="600" w:lineRule="exact"/>
        <w:rPr>
          <w:rFonts w:hint="eastAsia" w:ascii="黑体" w:hAnsi="黑体" w:eastAsia="黑体" w:cs="黑体"/>
          <w:szCs w:val="32"/>
        </w:rPr>
        <w:sectPr>
          <w:pgSz w:w="16838" w:h="11906" w:orient="landscape"/>
          <w:pgMar w:top="1474" w:right="1701" w:bottom="1474" w:left="1814" w:header="851" w:footer="1417" w:gutter="0"/>
          <w:cols w:space="720" w:num="1"/>
          <w:docGrid w:type="lines" w:linePitch="466" w:charSpace="0"/>
        </w:sectPr>
      </w:pPr>
    </w:p>
    <w:p>
      <w:pPr>
        <w:adjustRightInd w:val="0"/>
        <w:spacing w:line="600" w:lineRule="exact"/>
        <w:rPr>
          <w:rFonts w:hint="eastAsia" w:ascii="黑体" w:hAnsi="黑体" w:eastAsia="黑体" w:cs="黑体"/>
          <w:szCs w:val="32"/>
        </w:rPr>
      </w:pPr>
      <w:r>
        <w:rPr>
          <w:rFonts w:hint="eastAsia" w:ascii="黑体" w:hAnsi="黑体" w:eastAsia="黑体" w:cs="黑体"/>
          <w:szCs w:val="32"/>
        </w:rPr>
        <w:t>附件4</w:t>
      </w:r>
    </w:p>
    <w:p>
      <w:pPr>
        <w:overflowPunct w:val="0"/>
        <w:adjustRightInd w:val="0"/>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工作总结（模板）</w:t>
      </w:r>
    </w:p>
    <w:p>
      <w:pPr>
        <w:pStyle w:val="3"/>
        <w:adjustRightInd w:val="0"/>
        <w:spacing w:line="600" w:lineRule="exact"/>
        <w:ind w:firstLine="0" w:firstLineChars="0"/>
        <w:jc w:val="center"/>
        <w:rPr>
          <w:rFonts w:hint="eastAsia"/>
          <w:color w:val="000000"/>
        </w:rPr>
      </w:pPr>
    </w:p>
    <w:p>
      <w:pPr>
        <w:tabs>
          <w:tab w:val="left" w:pos="1363"/>
        </w:tabs>
        <w:adjustRightInd w:val="0"/>
        <w:spacing w:line="600" w:lineRule="exact"/>
        <w:ind w:firstLine="640" w:firstLineChars="200"/>
        <w:rPr>
          <w:rFonts w:hint="eastAsia" w:ascii="仿宋" w:hAnsi="仿宋" w:eastAsia="仿宋" w:cs="黑体"/>
          <w:color w:val="000000"/>
          <w:szCs w:val="32"/>
        </w:rPr>
      </w:pPr>
      <w:r>
        <w:rPr>
          <w:rFonts w:hint="eastAsia" w:ascii="仿宋" w:hAnsi="仿宋" w:eastAsia="仿宋" w:cs="黑体"/>
          <w:color w:val="000000"/>
          <w:szCs w:val="32"/>
        </w:rPr>
        <w:t>一、专项执法行动开展成效</w:t>
      </w:r>
    </w:p>
    <w:p>
      <w:pPr>
        <w:tabs>
          <w:tab w:val="left" w:pos="1363"/>
        </w:tabs>
        <w:adjustRightInd w:val="0"/>
        <w:spacing w:line="600" w:lineRule="exact"/>
        <w:ind w:firstLine="640" w:firstLineChars="200"/>
        <w:rPr>
          <w:rFonts w:hint="eastAsia" w:ascii="仿宋" w:hAnsi="仿宋" w:eastAsia="仿宋" w:cs="黑体"/>
          <w:color w:val="000000"/>
          <w:szCs w:val="32"/>
        </w:rPr>
      </w:pPr>
      <w:r>
        <w:rPr>
          <w:rFonts w:hint="eastAsia" w:ascii="仿宋" w:hAnsi="仿宋" w:eastAsia="仿宋" w:cs="黑体"/>
          <w:color w:val="000000"/>
          <w:szCs w:val="32"/>
        </w:rPr>
        <w:t>二、主要做法或经验</w:t>
      </w:r>
    </w:p>
    <w:p>
      <w:pPr>
        <w:tabs>
          <w:tab w:val="left" w:pos="1363"/>
        </w:tabs>
        <w:adjustRightInd w:val="0"/>
        <w:spacing w:line="600" w:lineRule="exact"/>
        <w:ind w:firstLine="640" w:firstLineChars="200"/>
        <w:rPr>
          <w:rFonts w:hint="eastAsia" w:ascii="仿宋" w:hAnsi="仿宋" w:eastAsia="仿宋" w:cs="黑体"/>
          <w:color w:val="000000"/>
          <w:szCs w:val="32"/>
        </w:rPr>
      </w:pPr>
      <w:r>
        <w:rPr>
          <w:rFonts w:hint="eastAsia" w:ascii="仿宋" w:hAnsi="仿宋" w:eastAsia="仿宋" w:cs="黑体"/>
          <w:color w:val="000000"/>
          <w:szCs w:val="32"/>
        </w:rPr>
        <w:t>三、行动开展中存在的问题</w:t>
      </w:r>
    </w:p>
    <w:p>
      <w:pPr>
        <w:tabs>
          <w:tab w:val="left" w:pos="1363"/>
        </w:tabs>
        <w:adjustRightInd w:val="0"/>
        <w:spacing w:line="600" w:lineRule="exact"/>
        <w:ind w:firstLine="640" w:firstLineChars="200"/>
        <w:rPr>
          <w:rFonts w:hint="eastAsia" w:ascii="仿宋" w:hAnsi="仿宋" w:eastAsia="仿宋" w:cs="黑体"/>
          <w:color w:val="000000"/>
          <w:szCs w:val="32"/>
        </w:rPr>
      </w:pPr>
      <w:r>
        <w:rPr>
          <w:rFonts w:hint="eastAsia" w:ascii="仿宋" w:hAnsi="仿宋" w:eastAsia="仿宋" w:cs="黑体"/>
          <w:color w:val="000000"/>
          <w:szCs w:val="32"/>
        </w:rPr>
        <w:t>四、有关意见以及建议</w:t>
      </w:r>
    </w:p>
    <w:p>
      <w:pPr>
        <w:tabs>
          <w:tab w:val="left" w:pos="1363"/>
        </w:tabs>
        <w:adjustRightInd w:val="0"/>
        <w:spacing w:line="600" w:lineRule="exact"/>
        <w:ind w:firstLine="640" w:firstLineChars="200"/>
        <w:rPr>
          <w:rFonts w:hint="eastAsia" w:ascii="仿宋" w:hAnsi="仿宋" w:eastAsia="仿宋" w:cs="黑体"/>
          <w:color w:val="000000"/>
          <w:szCs w:val="32"/>
        </w:rPr>
      </w:pPr>
      <w:r>
        <w:rPr>
          <w:rFonts w:hint="eastAsia" w:ascii="仿宋" w:hAnsi="仿宋" w:eastAsia="仿宋" w:cs="黑体"/>
          <w:color w:val="000000"/>
          <w:szCs w:val="32"/>
        </w:rPr>
        <w:t>五、附表：专项执法行动总体台账</w:t>
      </w:r>
    </w:p>
    <w:p>
      <w:pPr>
        <w:tabs>
          <w:tab w:val="left" w:pos="1363"/>
        </w:tabs>
        <w:rPr>
          <w:rFonts w:hint="eastAsia" w:ascii="黑体" w:hAnsi="黑体" w:eastAsia="黑体" w:cs="黑体"/>
          <w:color w:val="000000"/>
          <w:szCs w:val="32"/>
        </w:rPr>
      </w:pPr>
    </w:p>
    <w:p>
      <w:pPr>
        <w:tabs>
          <w:tab w:val="left" w:pos="1363"/>
        </w:tabs>
        <w:rPr>
          <w:rFonts w:hint="eastAsia" w:ascii="黑体" w:hAnsi="黑体" w:eastAsia="黑体" w:cs="黑体"/>
          <w:color w:val="000000"/>
          <w:szCs w:val="32"/>
        </w:rPr>
      </w:pPr>
    </w:p>
    <w:p>
      <w:pPr>
        <w:tabs>
          <w:tab w:val="left" w:pos="1363"/>
        </w:tabs>
        <w:rPr>
          <w:rFonts w:hint="eastAsia" w:ascii="黑体" w:hAnsi="黑体" w:eastAsia="黑体" w:cs="黑体"/>
          <w:color w:val="000000"/>
          <w:szCs w:val="32"/>
        </w:rPr>
      </w:pPr>
    </w:p>
    <w:p>
      <w:pPr>
        <w:rPr>
          <w:rFonts w:hint="eastAsia" w:ascii="黑体" w:hAnsi="黑体" w:eastAsia="黑体" w:cs="黑体"/>
          <w:color w:val="000000"/>
          <w:szCs w:val="32"/>
        </w:rPr>
      </w:pPr>
    </w:p>
    <w:p>
      <w:pPr>
        <w:rPr>
          <w:rFonts w:hint="eastAsia" w:ascii="黑体" w:hAnsi="黑体" w:eastAsia="黑体" w:cs="黑体"/>
          <w:color w:val="000000"/>
          <w:szCs w:val="32"/>
        </w:rPr>
      </w:pPr>
    </w:p>
    <w:p>
      <w:pPr>
        <w:adjustRightInd w:val="0"/>
        <w:spacing w:line="600" w:lineRule="exact"/>
        <w:rPr>
          <w:rFonts w:hint="eastAsia" w:ascii="黑体" w:hAnsi="黑体" w:eastAsia="黑体" w:cs="黑体"/>
          <w:color w:val="000000"/>
          <w:szCs w:val="32"/>
        </w:rPr>
      </w:pPr>
    </w:p>
    <w:p>
      <w:pPr>
        <w:adjustRightInd w:val="0"/>
        <w:spacing w:line="600" w:lineRule="exact"/>
        <w:rPr>
          <w:rFonts w:hint="eastAsia" w:ascii="黑体" w:hAnsi="黑体" w:eastAsia="黑体" w:cs="黑体"/>
          <w:color w:val="000000"/>
          <w:szCs w:val="32"/>
        </w:rPr>
      </w:pPr>
    </w:p>
    <w:p>
      <w:pPr>
        <w:adjustRightInd w:val="0"/>
        <w:spacing w:line="600" w:lineRule="exact"/>
        <w:rPr>
          <w:rFonts w:hint="eastAsia" w:ascii="黑体" w:hAnsi="黑体" w:eastAsia="黑体" w:cs="黑体"/>
          <w:color w:val="000000"/>
          <w:szCs w:val="32"/>
        </w:rPr>
      </w:pPr>
    </w:p>
    <w:p>
      <w:pPr>
        <w:adjustRightInd w:val="0"/>
        <w:spacing w:line="600" w:lineRule="exact"/>
        <w:rPr>
          <w:rFonts w:hint="eastAsia" w:ascii="黑体" w:hAnsi="黑体" w:eastAsia="黑体" w:cs="黑体"/>
          <w:color w:val="000000"/>
          <w:szCs w:val="32"/>
        </w:rPr>
      </w:pPr>
    </w:p>
    <w:p>
      <w:pPr>
        <w:adjustRightInd w:val="0"/>
        <w:spacing w:line="600" w:lineRule="exact"/>
        <w:rPr>
          <w:rFonts w:hint="eastAsia" w:ascii="黑体" w:hAnsi="黑体" w:eastAsia="黑体" w:cs="黑体"/>
          <w:color w:val="000000"/>
          <w:szCs w:val="32"/>
        </w:rPr>
      </w:pPr>
    </w:p>
    <w:p>
      <w:pPr>
        <w:adjustRightInd w:val="0"/>
        <w:spacing w:line="600" w:lineRule="exact"/>
        <w:rPr>
          <w:rFonts w:hint="eastAsia" w:ascii="黑体" w:hAnsi="黑体" w:eastAsia="黑体" w:cs="黑体"/>
          <w:color w:val="000000"/>
          <w:szCs w:val="32"/>
        </w:rPr>
      </w:pPr>
    </w:p>
    <w:p>
      <w:pPr>
        <w:adjustRightInd w:val="0"/>
        <w:spacing w:line="600" w:lineRule="exact"/>
        <w:rPr>
          <w:rFonts w:hint="eastAsia" w:ascii="黑体" w:hAnsi="黑体" w:eastAsia="黑体" w:cs="黑体"/>
          <w:color w:val="000000"/>
          <w:szCs w:val="32"/>
        </w:rPr>
      </w:pPr>
    </w:p>
    <w:p>
      <w:pPr>
        <w:adjustRightInd w:val="0"/>
        <w:spacing w:line="600" w:lineRule="exact"/>
        <w:rPr>
          <w:rFonts w:hint="eastAsia" w:ascii="黑体" w:hAnsi="黑体" w:eastAsia="黑体" w:cs="黑体"/>
          <w:color w:val="000000"/>
          <w:szCs w:val="32"/>
        </w:rPr>
      </w:pPr>
    </w:p>
    <w:p>
      <w:pPr>
        <w:adjustRightInd w:val="0"/>
        <w:spacing w:line="600" w:lineRule="exact"/>
        <w:rPr>
          <w:rFonts w:hint="eastAsia" w:ascii="黑体" w:hAnsi="黑体" w:eastAsia="黑体" w:cs="黑体"/>
          <w:color w:val="000000"/>
          <w:szCs w:val="32"/>
        </w:rPr>
      </w:pPr>
    </w:p>
    <w:p>
      <w:pPr>
        <w:adjustRightInd w:val="0"/>
        <w:spacing w:line="600" w:lineRule="exact"/>
        <w:rPr>
          <w:rFonts w:hint="eastAsia" w:ascii="黑体" w:hAnsi="黑体" w:eastAsia="黑体" w:cs="黑体"/>
          <w:color w:val="000000"/>
          <w:szCs w:val="32"/>
        </w:rPr>
        <w:sectPr>
          <w:pgSz w:w="11906" w:h="16838"/>
          <w:pgMar w:top="1814" w:right="1474" w:bottom="1701" w:left="1474" w:header="851" w:footer="1417" w:gutter="0"/>
          <w:cols w:space="720" w:num="1"/>
          <w:docGrid w:type="lines" w:linePitch="466" w:charSpace="0"/>
        </w:sectPr>
      </w:pPr>
    </w:p>
    <w:p>
      <w:pPr>
        <w:adjustRightInd w:val="0"/>
        <w:spacing w:line="600" w:lineRule="exact"/>
        <w:rPr>
          <w:rFonts w:hint="eastAsia" w:ascii="黑体" w:hAnsi="黑体" w:eastAsia="黑体" w:cs="黑体"/>
          <w:color w:val="000000"/>
          <w:szCs w:val="32"/>
        </w:rPr>
      </w:pPr>
      <w:r>
        <w:rPr>
          <w:rFonts w:hint="eastAsia" w:ascii="黑体" w:hAnsi="黑体" w:eastAsia="黑体" w:cs="黑体"/>
          <w:color w:val="000000"/>
          <w:szCs w:val="32"/>
        </w:rPr>
        <w:t>附  表</w:t>
      </w:r>
    </w:p>
    <w:p>
      <w:pPr>
        <w:tabs>
          <w:tab w:val="left" w:pos="6952"/>
        </w:tabs>
        <w:adjustRightInd w:val="0"/>
        <w:spacing w:line="300" w:lineRule="exact"/>
        <w:jc w:val="center"/>
        <w:rPr>
          <w:rFonts w:hint="eastAsia" w:ascii="方正小标宋简体" w:hAnsi="方正小标宋简体" w:eastAsia="方正小标宋简体" w:cs="方正小标宋简体"/>
          <w:sz w:val="40"/>
          <w:szCs w:val="40"/>
        </w:rPr>
      </w:pPr>
    </w:p>
    <w:p>
      <w:pPr>
        <w:adjustRightInd w:val="0"/>
        <w:spacing w:line="60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专项行动总体台账</w:t>
      </w:r>
    </w:p>
    <w:p>
      <w:pPr>
        <w:tabs>
          <w:tab w:val="left" w:pos="6952"/>
        </w:tabs>
        <w:adjustRightInd w:val="0"/>
        <w:spacing w:line="300" w:lineRule="exact"/>
        <w:jc w:val="center"/>
        <w:rPr>
          <w:rFonts w:hint="eastAsia" w:ascii="方正小标宋简体" w:hAnsi="方正小标宋简体" w:eastAsia="方正小标宋简体" w:cs="方正小标宋简体"/>
          <w:sz w:val="40"/>
          <w:szCs w:val="40"/>
        </w:rPr>
      </w:pPr>
    </w:p>
    <w:tbl>
      <w:tblPr>
        <w:tblStyle w:val="9"/>
        <w:tblpPr w:leftFromText="180" w:rightFromText="180" w:vertAnchor="text" w:horzAnchor="page" w:tblpX="1848" w:tblpY="743"/>
        <w:tblOverlap w:val="never"/>
        <w:tblW w:w="13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13"/>
        <w:gridCol w:w="736"/>
        <w:gridCol w:w="1020"/>
        <w:gridCol w:w="720"/>
        <w:gridCol w:w="750"/>
        <w:gridCol w:w="526"/>
        <w:gridCol w:w="695"/>
        <w:gridCol w:w="765"/>
        <w:gridCol w:w="705"/>
        <w:gridCol w:w="729"/>
        <w:gridCol w:w="735"/>
        <w:gridCol w:w="825"/>
        <w:gridCol w:w="570"/>
        <w:gridCol w:w="855"/>
        <w:gridCol w:w="885"/>
        <w:gridCol w:w="600"/>
        <w:gridCol w:w="570"/>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31" w:hRule="atLeast"/>
        </w:trPr>
        <w:tc>
          <w:tcPr>
            <w:tcW w:w="713"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市、县</w:t>
            </w:r>
          </w:p>
        </w:tc>
        <w:tc>
          <w:tcPr>
            <w:tcW w:w="736"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查处问题线索总数</w:t>
            </w:r>
          </w:p>
        </w:tc>
        <w:tc>
          <w:tcPr>
            <w:tcW w:w="1740" w:type="dxa"/>
            <w:gridSpan w:val="2"/>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线索属实数量</w:t>
            </w:r>
          </w:p>
        </w:tc>
        <w:tc>
          <w:tcPr>
            <w:tcW w:w="750"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线索不属实数量</w:t>
            </w:r>
          </w:p>
        </w:tc>
        <w:tc>
          <w:tcPr>
            <w:tcW w:w="526"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立案总数</w:t>
            </w:r>
          </w:p>
        </w:tc>
        <w:tc>
          <w:tcPr>
            <w:tcW w:w="695"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结案数量</w:t>
            </w:r>
          </w:p>
        </w:tc>
        <w:tc>
          <w:tcPr>
            <w:tcW w:w="765"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未结案数量</w:t>
            </w:r>
          </w:p>
        </w:tc>
        <w:tc>
          <w:tcPr>
            <w:tcW w:w="705"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挂牌督办案件数量</w:t>
            </w:r>
          </w:p>
        </w:tc>
        <w:tc>
          <w:tcPr>
            <w:tcW w:w="729"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案件移交公安机关</w:t>
            </w:r>
          </w:p>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数量</w:t>
            </w:r>
          </w:p>
        </w:tc>
        <w:tc>
          <w:tcPr>
            <w:tcW w:w="735"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案件移送检察机关数量</w:t>
            </w:r>
          </w:p>
        </w:tc>
        <w:tc>
          <w:tcPr>
            <w:tcW w:w="825"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公安机关行政拘留人数</w:t>
            </w:r>
          </w:p>
        </w:tc>
        <w:tc>
          <w:tcPr>
            <w:tcW w:w="570"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刑事拘留人数</w:t>
            </w:r>
          </w:p>
          <w:p>
            <w:pPr>
              <w:adjustRightInd w:val="0"/>
              <w:spacing w:line="240" w:lineRule="exact"/>
              <w:jc w:val="center"/>
              <w:rPr>
                <w:rFonts w:hint="eastAsia" w:ascii="黑体" w:hAnsi="黑体" w:eastAsia="黑体" w:cs="黑体"/>
                <w:color w:val="000000"/>
                <w:sz w:val="21"/>
                <w:szCs w:val="21"/>
              </w:rPr>
            </w:pPr>
          </w:p>
        </w:tc>
        <w:tc>
          <w:tcPr>
            <w:tcW w:w="855"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巡查河道长度</w:t>
            </w:r>
          </w:p>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（公里）</w:t>
            </w:r>
          </w:p>
        </w:tc>
        <w:tc>
          <w:tcPr>
            <w:tcW w:w="885"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巡查水域面积（平方公里）</w:t>
            </w:r>
          </w:p>
        </w:tc>
        <w:tc>
          <w:tcPr>
            <w:tcW w:w="600"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出动</w:t>
            </w:r>
          </w:p>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人次</w:t>
            </w:r>
          </w:p>
        </w:tc>
        <w:tc>
          <w:tcPr>
            <w:tcW w:w="570"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出动车次</w:t>
            </w:r>
          </w:p>
        </w:tc>
        <w:tc>
          <w:tcPr>
            <w:tcW w:w="865" w:type="dxa"/>
            <w:vMerge w:val="restart"/>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罚款</w:t>
            </w:r>
          </w:p>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21" w:hRule="atLeast"/>
        </w:trPr>
        <w:tc>
          <w:tcPr>
            <w:tcW w:w="713" w:type="dxa"/>
            <w:vMerge w:val="continue"/>
            <w:noWrap w:val="0"/>
            <w:vAlign w:val="center"/>
          </w:tcPr>
          <w:p>
            <w:pPr>
              <w:adjustRightInd w:val="0"/>
              <w:spacing w:line="240" w:lineRule="exact"/>
              <w:jc w:val="center"/>
              <w:rPr>
                <w:rFonts w:hint="eastAsia"/>
                <w:color w:val="000000"/>
              </w:rPr>
            </w:pPr>
          </w:p>
        </w:tc>
        <w:tc>
          <w:tcPr>
            <w:tcW w:w="736"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1020" w:type="dxa"/>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已处理完成数量</w:t>
            </w:r>
          </w:p>
        </w:tc>
        <w:tc>
          <w:tcPr>
            <w:tcW w:w="720" w:type="dxa"/>
            <w:noWrap w:val="0"/>
            <w:vAlign w:val="center"/>
          </w:tcPr>
          <w:p>
            <w:pPr>
              <w:adjustRightInd w:val="0"/>
              <w:spacing w:line="240" w:lineRule="exact"/>
              <w:jc w:val="center"/>
              <w:rPr>
                <w:rFonts w:hint="eastAsia" w:ascii="黑体" w:hAnsi="黑体" w:eastAsia="黑体" w:cs="黑体"/>
                <w:color w:val="000000"/>
                <w:sz w:val="21"/>
                <w:szCs w:val="21"/>
              </w:rPr>
            </w:pPr>
            <w:r>
              <w:rPr>
                <w:rFonts w:hint="eastAsia" w:ascii="黑体" w:hAnsi="黑体" w:eastAsia="黑体" w:cs="黑体"/>
                <w:color w:val="000000"/>
                <w:sz w:val="21"/>
                <w:szCs w:val="21"/>
              </w:rPr>
              <w:t>未完成数量</w:t>
            </w:r>
          </w:p>
        </w:tc>
        <w:tc>
          <w:tcPr>
            <w:tcW w:w="750" w:type="dxa"/>
            <w:vMerge w:val="continue"/>
            <w:noWrap w:val="0"/>
            <w:vAlign w:val="center"/>
          </w:tcPr>
          <w:p>
            <w:pPr>
              <w:adjustRightInd w:val="0"/>
              <w:spacing w:line="240" w:lineRule="exact"/>
              <w:jc w:val="center"/>
              <w:rPr>
                <w:rFonts w:hint="eastAsia" w:ascii="黑体" w:hAnsi="黑体" w:eastAsia="黑体" w:cs="黑体"/>
                <w:color w:val="000000"/>
                <w:sz w:val="21"/>
                <w:szCs w:val="21"/>
              </w:rPr>
            </w:pPr>
          </w:p>
        </w:tc>
        <w:tc>
          <w:tcPr>
            <w:tcW w:w="526"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695"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765"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705"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729"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735"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825"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570"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855"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885"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600"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570"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c>
          <w:tcPr>
            <w:tcW w:w="865" w:type="dxa"/>
            <w:vMerge w:val="continue"/>
            <w:noWrap w:val="0"/>
            <w:vAlign w:val="center"/>
          </w:tcPr>
          <w:p>
            <w:pPr>
              <w:adjustRightInd w:val="0"/>
              <w:spacing w:line="240" w:lineRule="exact"/>
              <w:jc w:val="center"/>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41" w:hRule="atLeast"/>
        </w:trPr>
        <w:tc>
          <w:tcPr>
            <w:tcW w:w="713" w:type="dxa"/>
            <w:noWrap w:val="0"/>
            <w:vAlign w:val="center"/>
          </w:tcPr>
          <w:p>
            <w:pPr>
              <w:adjustRightInd w:val="0"/>
              <w:spacing w:line="240" w:lineRule="exact"/>
              <w:rPr>
                <w:rFonts w:hint="eastAsia"/>
                <w:color w:val="000000"/>
              </w:rPr>
            </w:pPr>
          </w:p>
        </w:tc>
        <w:tc>
          <w:tcPr>
            <w:tcW w:w="736" w:type="dxa"/>
            <w:noWrap w:val="0"/>
            <w:vAlign w:val="center"/>
          </w:tcPr>
          <w:p>
            <w:pPr>
              <w:adjustRightInd w:val="0"/>
              <w:spacing w:line="240" w:lineRule="exact"/>
              <w:rPr>
                <w:rFonts w:hint="eastAsia" w:ascii="仿宋_GB2312" w:hAnsi="仿宋_GB2312" w:cs="仿宋_GB2312"/>
                <w:color w:val="000000"/>
                <w:sz w:val="24"/>
              </w:rPr>
            </w:pPr>
          </w:p>
        </w:tc>
        <w:tc>
          <w:tcPr>
            <w:tcW w:w="1020" w:type="dxa"/>
            <w:noWrap w:val="0"/>
            <w:vAlign w:val="center"/>
          </w:tcPr>
          <w:p>
            <w:pPr>
              <w:adjustRightInd w:val="0"/>
              <w:spacing w:line="240" w:lineRule="exact"/>
              <w:rPr>
                <w:rFonts w:hint="eastAsia" w:ascii="黑体" w:hAnsi="黑体" w:eastAsia="黑体" w:cs="黑体"/>
                <w:color w:val="000000"/>
                <w:sz w:val="21"/>
                <w:szCs w:val="21"/>
              </w:rPr>
            </w:pPr>
          </w:p>
        </w:tc>
        <w:tc>
          <w:tcPr>
            <w:tcW w:w="720" w:type="dxa"/>
            <w:noWrap w:val="0"/>
            <w:vAlign w:val="center"/>
          </w:tcPr>
          <w:p>
            <w:pPr>
              <w:adjustRightInd w:val="0"/>
              <w:spacing w:line="240" w:lineRule="exact"/>
              <w:rPr>
                <w:rFonts w:hint="eastAsia" w:ascii="黑体" w:hAnsi="黑体" w:eastAsia="黑体" w:cs="黑体"/>
                <w:color w:val="000000"/>
                <w:sz w:val="21"/>
                <w:szCs w:val="21"/>
              </w:rPr>
            </w:pPr>
          </w:p>
        </w:tc>
        <w:tc>
          <w:tcPr>
            <w:tcW w:w="750" w:type="dxa"/>
            <w:noWrap w:val="0"/>
            <w:vAlign w:val="center"/>
          </w:tcPr>
          <w:p>
            <w:pPr>
              <w:adjustRightInd w:val="0"/>
              <w:spacing w:line="240" w:lineRule="exact"/>
              <w:rPr>
                <w:rFonts w:hint="eastAsia" w:ascii="黑体" w:hAnsi="黑体" w:eastAsia="黑体" w:cs="黑体"/>
                <w:color w:val="000000"/>
                <w:sz w:val="21"/>
                <w:szCs w:val="21"/>
              </w:rPr>
            </w:pPr>
          </w:p>
        </w:tc>
        <w:tc>
          <w:tcPr>
            <w:tcW w:w="526" w:type="dxa"/>
            <w:noWrap w:val="0"/>
            <w:vAlign w:val="center"/>
          </w:tcPr>
          <w:p>
            <w:pPr>
              <w:adjustRightInd w:val="0"/>
              <w:spacing w:line="240" w:lineRule="exact"/>
              <w:rPr>
                <w:rFonts w:hint="eastAsia" w:ascii="仿宋_GB2312" w:hAnsi="仿宋_GB2312" w:cs="仿宋_GB2312"/>
                <w:color w:val="000000"/>
                <w:sz w:val="24"/>
              </w:rPr>
            </w:pPr>
          </w:p>
        </w:tc>
        <w:tc>
          <w:tcPr>
            <w:tcW w:w="695" w:type="dxa"/>
            <w:noWrap w:val="0"/>
            <w:vAlign w:val="center"/>
          </w:tcPr>
          <w:p>
            <w:pPr>
              <w:adjustRightInd w:val="0"/>
              <w:spacing w:line="240" w:lineRule="exact"/>
              <w:rPr>
                <w:rFonts w:hint="eastAsia" w:ascii="仿宋_GB2312" w:hAnsi="仿宋_GB2312" w:cs="仿宋_GB2312"/>
                <w:color w:val="000000"/>
                <w:sz w:val="24"/>
              </w:rPr>
            </w:pPr>
          </w:p>
        </w:tc>
        <w:tc>
          <w:tcPr>
            <w:tcW w:w="765" w:type="dxa"/>
            <w:noWrap w:val="0"/>
            <w:vAlign w:val="center"/>
          </w:tcPr>
          <w:p>
            <w:pPr>
              <w:adjustRightInd w:val="0"/>
              <w:spacing w:line="240" w:lineRule="exact"/>
              <w:rPr>
                <w:rFonts w:hint="eastAsia" w:ascii="仿宋_GB2312" w:hAnsi="仿宋_GB2312" w:cs="仿宋_GB2312"/>
                <w:color w:val="000000"/>
                <w:sz w:val="24"/>
              </w:rPr>
            </w:pPr>
          </w:p>
        </w:tc>
        <w:tc>
          <w:tcPr>
            <w:tcW w:w="705" w:type="dxa"/>
            <w:noWrap w:val="0"/>
            <w:vAlign w:val="center"/>
          </w:tcPr>
          <w:p>
            <w:pPr>
              <w:adjustRightInd w:val="0"/>
              <w:spacing w:line="240" w:lineRule="exact"/>
              <w:rPr>
                <w:rFonts w:hint="eastAsia" w:ascii="仿宋_GB2312" w:hAnsi="仿宋_GB2312" w:cs="仿宋_GB2312"/>
                <w:color w:val="000000"/>
                <w:sz w:val="24"/>
              </w:rPr>
            </w:pPr>
          </w:p>
        </w:tc>
        <w:tc>
          <w:tcPr>
            <w:tcW w:w="729" w:type="dxa"/>
            <w:noWrap w:val="0"/>
            <w:vAlign w:val="center"/>
          </w:tcPr>
          <w:p>
            <w:pPr>
              <w:adjustRightInd w:val="0"/>
              <w:spacing w:line="240" w:lineRule="exact"/>
              <w:rPr>
                <w:rFonts w:hint="eastAsia" w:ascii="仿宋_GB2312" w:hAnsi="仿宋_GB2312" w:cs="仿宋_GB2312"/>
                <w:color w:val="000000"/>
                <w:sz w:val="24"/>
              </w:rPr>
            </w:pPr>
          </w:p>
        </w:tc>
        <w:tc>
          <w:tcPr>
            <w:tcW w:w="735" w:type="dxa"/>
            <w:noWrap w:val="0"/>
            <w:vAlign w:val="center"/>
          </w:tcPr>
          <w:p>
            <w:pPr>
              <w:adjustRightInd w:val="0"/>
              <w:spacing w:line="240" w:lineRule="exact"/>
              <w:rPr>
                <w:rFonts w:hint="eastAsia" w:ascii="仿宋_GB2312" w:hAnsi="仿宋_GB2312" w:cs="仿宋_GB2312"/>
                <w:color w:val="000000"/>
                <w:sz w:val="24"/>
              </w:rPr>
            </w:pPr>
          </w:p>
        </w:tc>
        <w:tc>
          <w:tcPr>
            <w:tcW w:w="825" w:type="dxa"/>
            <w:noWrap w:val="0"/>
            <w:vAlign w:val="center"/>
          </w:tcPr>
          <w:p>
            <w:pPr>
              <w:adjustRightInd w:val="0"/>
              <w:spacing w:line="240" w:lineRule="exact"/>
              <w:rPr>
                <w:rFonts w:hint="eastAsia" w:ascii="仿宋_GB2312" w:hAnsi="仿宋_GB2312" w:cs="仿宋_GB2312"/>
                <w:color w:val="000000"/>
                <w:sz w:val="24"/>
              </w:rPr>
            </w:pPr>
          </w:p>
        </w:tc>
        <w:tc>
          <w:tcPr>
            <w:tcW w:w="570" w:type="dxa"/>
            <w:noWrap w:val="0"/>
            <w:vAlign w:val="center"/>
          </w:tcPr>
          <w:p>
            <w:pPr>
              <w:adjustRightInd w:val="0"/>
              <w:spacing w:line="240" w:lineRule="exact"/>
              <w:rPr>
                <w:rFonts w:hint="eastAsia" w:ascii="仿宋_GB2312" w:hAnsi="仿宋_GB2312" w:cs="仿宋_GB2312"/>
                <w:color w:val="000000"/>
                <w:sz w:val="24"/>
              </w:rPr>
            </w:pPr>
          </w:p>
        </w:tc>
        <w:tc>
          <w:tcPr>
            <w:tcW w:w="855" w:type="dxa"/>
            <w:noWrap w:val="0"/>
            <w:vAlign w:val="center"/>
          </w:tcPr>
          <w:p>
            <w:pPr>
              <w:adjustRightInd w:val="0"/>
              <w:spacing w:line="240" w:lineRule="exact"/>
              <w:rPr>
                <w:rFonts w:hint="eastAsia" w:ascii="仿宋_GB2312" w:hAnsi="仿宋_GB2312" w:cs="仿宋_GB2312"/>
                <w:color w:val="000000"/>
                <w:sz w:val="24"/>
              </w:rPr>
            </w:pPr>
          </w:p>
        </w:tc>
        <w:tc>
          <w:tcPr>
            <w:tcW w:w="885" w:type="dxa"/>
            <w:noWrap w:val="0"/>
            <w:vAlign w:val="center"/>
          </w:tcPr>
          <w:p>
            <w:pPr>
              <w:adjustRightInd w:val="0"/>
              <w:spacing w:line="240" w:lineRule="exact"/>
              <w:rPr>
                <w:rFonts w:hint="eastAsia" w:ascii="仿宋_GB2312" w:hAnsi="仿宋_GB2312" w:cs="仿宋_GB2312"/>
                <w:color w:val="000000"/>
                <w:sz w:val="24"/>
              </w:rPr>
            </w:pPr>
          </w:p>
        </w:tc>
        <w:tc>
          <w:tcPr>
            <w:tcW w:w="600" w:type="dxa"/>
            <w:noWrap w:val="0"/>
            <w:vAlign w:val="center"/>
          </w:tcPr>
          <w:p>
            <w:pPr>
              <w:adjustRightInd w:val="0"/>
              <w:spacing w:line="240" w:lineRule="exact"/>
              <w:rPr>
                <w:rFonts w:hint="eastAsia" w:ascii="仿宋_GB2312" w:hAnsi="仿宋_GB2312" w:cs="仿宋_GB2312"/>
                <w:color w:val="000000"/>
                <w:sz w:val="24"/>
              </w:rPr>
            </w:pPr>
          </w:p>
        </w:tc>
        <w:tc>
          <w:tcPr>
            <w:tcW w:w="570" w:type="dxa"/>
            <w:noWrap w:val="0"/>
            <w:vAlign w:val="center"/>
          </w:tcPr>
          <w:p>
            <w:pPr>
              <w:adjustRightInd w:val="0"/>
              <w:spacing w:line="240" w:lineRule="exact"/>
              <w:rPr>
                <w:rFonts w:hint="eastAsia" w:ascii="仿宋_GB2312" w:hAnsi="仿宋_GB2312" w:cs="仿宋_GB2312"/>
                <w:color w:val="000000"/>
                <w:sz w:val="24"/>
              </w:rPr>
            </w:pPr>
          </w:p>
        </w:tc>
        <w:tc>
          <w:tcPr>
            <w:tcW w:w="865" w:type="dxa"/>
            <w:noWrap w:val="0"/>
            <w:vAlign w:val="center"/>
          </w:tcPr>
          <w:p>
            <w:pPr>
              <w:adjustRightInd w:val="0"/>
              <w:spacing w:line="240" w:lineRule="exact"/>
              <w:rPr>
                <w:rFonts w:hint="eastAsia" w:ascii="仿宋_GB2312" w:hAnsi="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41" w:hRule="atLeast"/>
        </w:trPr>
        <w:tc>
          <w:tcPr>
            <w:tcW w:w="713" w:type="dxa"/>
            <w:noWrap w:val="0"/>
            <w:vAlign w:val="center"/>
          </w:tcPr>
          <w:p>
            <w:pPr>
              <w:adjustRightInd w:val="0"/>
              <w:spacing w:line="240" w:lineRule="exact"/>
              <w:rPr>
                <w:rFonts w:hint="eastAsia" w:ascii="仿宋_GB2312" w:hAnsi="仿宋_GB2312" w:cs="仿宋_GB2312"/>
                <w:color w:val="000000"/>
                <w:sz w:val="24"/>
              </w:rPr>
            </w:pPr>
          </w:p>
        </w:tc>
        <w:tc>
          <w:tcPr>
            <w:tcW w:w="736" w:type="dxa"/>
            <w:noWrap w:val="0"/>
            <w:vAlign w:val="top"/>
          </w:tcPr>
          <w:p>
            <w:pPr>
              <w:adjustRightInd w:val="0"/>
              <w:spacing w:line="240" w:lineRule="exact"/>
              <w:rPr>
                <w:rFonts w:hint="eastAsia" w:ascii="仿宋_GB2312" w:hAnsi="仿宋_GB2312" w:cs="仿宋_GB2312"/>
                <w:color w:val="000000"/>
              </w:rPr>
            </w:pPr>
          </w:p>
        </w:tc>
        <w:tc>
          <w:tcPr>
            <w:tcW w:w="1020" w:type="dxa"/>
            <w:noWrap w:val="0"/>
            <w:vAlign w:val="top"/>
          </w:tcPr>
          <w:p>
            <w:pPr>
              <w:adjustRightInd w:val="0"/>
              <w:spacing w:line="240" w:lineRule="exact"/>
              <w:rPr>
                <w:rFonts w:ascii="Calibri" w:hAnsi="Calibri" w:eastAsia="宋体"/>
                <w:color w:val="000000"/>
                <w:sz w:val="21"/>
              </w:rPr>
            </w:pPr>
          </w:p>
        </w:tc>
        <w:tc>
          <w:tcPr>
            <w:tcW w:w="720" w:type="dxa"/>
            <w:noWrap w:val="0"/>
            <w:vAlign w:val="top"/>
          </w:tcPr>
          <w:p>
            <w:pPr>
              <w:adjustRightInd w:val="0"/>
              <w:spacing w:line="240" w:lineRule="exact"/>
              <w:rPr>
                <w:color w:val="000000"/>
              </w:rPr>
            </w:pPr>
          </w:p>
        </w:tc>
        <w:tc>
          <w:tcPr>
            <w:tcW w:w="750" w:type="dxa"/>
            <w:noWrap w:val="0"/>
            <w:vAlign w:val="top"/>
          </w:tcPr>
          <w:p>
            <w:pPr>
              <w:adjustRightInd w:val="0"/>
              <w:spacing w:line="240" w:lineRule="exact"/>
              <w:rPr>
                <w:color w:val="000000"/>
              </w:rPr>
            </w:pPr>
          </w:p>
        </w:tc>
        <w:tc>
          <w:tcPr>
            <w:tcW w:w="526" w:type="dxa"/>
            <w:noWrap w:val="0"/>
            <w:vAlign w:val="top"/>
          </w:tcPr>
          <w:p>
            <w:pPr>
              <w:adjustRightInd w:val="0"/>
              <w:spacing w:line="240" w:lineRule="exact"/>
              <w:rPr>
                <w:rFonts w:ascii="Calibri" w:hAnsi="Calibri" w:eastAsia="宋体"/>
                <w:color w:val="000000"/>
                <w:sz w:val="21"/>
              </w:rPr>
            </w:pPr>
          </w:p>
        </w:tc>
        <w:tc>
          <w:tcPr>
            <w:tcW w:w="695" w:type="dxa"/>
            <w:noWrap w:val="0"/>
            <w:vAlign w:val="top"/>
          </w:tcPr>
          <w:p>
            <w:pPr>
              <w:adjustRightInd w:val="0"/>
              <w:spacing w:line="240" w:lineRule="exact"/>
              <w:rPr>
                <w:rFonts w:ascii="Calibri" w:hAnsi="Calibri" w:eastAsia="宋体"/>
                <w:color w:val="000000"/>
                <w:sz w:val="21"/>
              </w:rPr>
            </w:pPr>
          </w:p>
        </w:tc>
        <w:tc>
          <w:tcPr>
            <w:tcW w:w="765" w:type="dxa"/>
            <w:noWrap w:val="0"/>
            <w:vAlign w:val="top"/>
          </w:tcPr>
          <w:p>
            <w:pPr>
              <w:adjustRightInd w:val="0"/>
              <w:spacing w:line="240" w:lineRule="exact"/>
              <w:rPr>
                <w:rFonts w:ascii="Calibri" w:hAnsi="Calibri" w:eastAsia="宋体"/>
                <w:color w:val="000000"/>
                <w:sz w:val="21"/>
              </w:rPr>
            </w:pPr>
          </w:p>
        </w:tc>
        <w:tc>
          <w:tcPr>
            <w:tcW w:w="705" w:type="dxa"/>
            <w:noWrap w:val="0"/>
            <w:vAlign w:val="top"/>
          </w:tcPr>
          <w:p>
            <w:pPr>
              <w:adjustRightInd w:val="0"/>
              <w:spacing w:line="240" w:lineRule="exact"/>
              <w:rPr>
                <w:rFonts w:ascii="Calibri" w:hAnsi="Calibri" w:eastAsia="宋体"/>
                <w:color w:val="000000"/>
                <w:sz w:val="21"/>
              </w:rPr>
            </w:pPr>
          </w:p>
        </w:tc>
        <w:tc>
          <w:tcPr>
            <w:tcW w:w="729" w:type="dxa"/>
            <w:noWrap w:val="0"/>
            <w:vAlign w:val="top"/>
          </w:tcPr>
          <w:p>
            <w:pPr>
              <w:adjustRightInd w:val="0"/>
              <w:spacing w:line="240" w:lineRule="exact"/>
              <w:rPr>
                <w:rFonts w:ascii="Calibri" w:hAnsi="Calibri" w:eastAsia="宋体"/>
                <w:color w:val="000000"/>
                <w:sz w:val="21"/>
              </w:rPr>
            </w:pPr>
          </w:p>
        </w:tc>
        <w:tc>
          <w:tcPr>
            <w:tcW w:w="735" w:type="dxa"/>
            <w:noWrap w:val="0"/>
            <w:vAlign w:val="top"/>
          </w:tcPr>
          <w:p>
            <w:pPr>
              <w:adjustRightInd w:val="0"/>
              <w:spacing w:line="240" w:lineRule="exact"/>
              <w:rPr>
                <w:rFonts w:ascii="Calibri" w:hAnsi="Calibri" w:eastAsia="宋体"/>
                <w:color w:val="000000"/>
                <w:sz w:val="21"/>
              </w:rPr>
            </w:pPr>
          </w:p>
        </w:tc>
        <w:tc>
          <w:tcPr>
            <w:tcW w:w="825" w:type="dxa"/>
            <w:noWrap w:val="0"/>
            <w:vAlign w:val="top"/>
          </w:tcPr>
          <w:p>
            <w:pPr>
              <w:adjustRightInd w:val="0"/>
              <w:spacing w:line="240" w:lineRule="exact"/>
              <w:rPr>
                <w:rFonts w:ascii="Calibri" w:hAnsi="Calibri" w:eastAsia="宋体"/>
                <w:color w:val="000000"/>
                <w:sz w:val="21"/>
              </w:rPr>
            </w:pPr>
          </w:p>
        </w:tc>
        <w:tc>
          <w:tcPr>
            <w:tcW w:w="570" w:type="dxa"/>
            <w:noWrap w:val="0"/>
            <w:vAlign w:val="top"/>
          </w:tcPr>
          <w:p>
            <w:pPr>
              <w:adjustRightInd w:val="0"/>
              <w:spacing w:line="240" w:lineRule="exact"/>
              <w:rPr>
                <w:rFonts w:ascii="Calibri" w:hAnsi="Calibri" w:eastAsia="宋体"/>
                <w:color w:val="000000"/>
                <w:sz w:val="21"/>
              </w:rPr>
            </w:pPr>
          </w:p>
        </w:tc>
        <w:tc>
          <w:tcPr>
            <w:tcW w:w="855" w:type="dxa"/>
            <w:noWrap w:val="0"/>
            <w:vAlign w:val="top"/>
          </w:tcPr>
          <w:p>
            <w:pPr>
              <w:adjustRightInd w:val="0"/>
              <w:spacing w:line="240" w:lineRule="exact"/>
              <w:rPr>
                <w:color w:val="000000"/>
              </w:rPr>
            </w:pPr>
          </w:p>
        </w:tc>
        <w:tc>
          <w:tcPr>
            <w:tcW w:w="885" w:type="dxa"/>
            <w:noWrap w:val="0"/>
            <w:vAlign w:val="top"/>
          </w:tcPr>
          <w:p>
            <w:pPr>
              <w:adjustRightInd w:val="0"/>
              <w:spacing w:line="240" w:lineRule="exact"/>
              <w:rPr>
                <w:color w:val="000000"/>
              </w:rPr>
            </w:pPr>
          </w:p>
        </w:tc>
        <w:tc>
          <w:tcPr>
            <w:tcW w:w="600" w:type="dxa"/>
            <w:noWrap w:val="0"/>
            <w:vAlign w:val="top"/>
          </w:tcPr>
          <w:p>
            <w:pPr>
              <w:adjustRightInd w:val="0"/>
              <w:spacing w:line="240" w:lineRule="exact"/>
              <w:rPr>
                <w:color w:val="000000"/>
              </w:rPr>
            </w:pPr>
          </w:p>
        </w:tc>
        <w:tc>
          <w:tcPr>
            <w:tcW w:w="570" w:type="dxa"/>
            <w:noWrap w:val="0"/>
            <w:vAlign w:val="top"/>
          </w:tcPr>
          <w:p>
            <w:pPr>
              <w:adjustRightInd w:val="0"/>
              <w:spacing w:line="240" w:lineRule="exact"/>
              <w:rPr>
                <w:color w:val="000000"/>
              </w:rPr>
            </w:pPr>
          </w:p>
        </w:tc>
        <w:tc>
          <w:tcPr>
            <w:tcW w:w="865" w:type="dxa"/>
            <w:noWrap w:val="0"/>
            <w:vAlign w:val="top"/>
          </w:tcPr>
          <w:p>
            <w:pPr>
              <w:adjustRightInd w:val="0"/>
              <w:spacing w:line="24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41" w:hRule="atLeast"/>
        </w:trPr>
        <w:tc>
          <w:tcPr>
            <w:tcW w:w="713" w:type="dxa"/>
            <w:noWrap w:val="0"/>
            <w:vAlign w:val="center"/>
          </w:tcPr>
          <w:p>
            <w:pPr>
              <w:adjustRightInd w:val="0"/>
              <w:spacing w:line="240" w:lineRule="exact"/>
              <w:rPr>
                <w:rFonts w:hint="eastAsia" w:ascii="仿宋_GB2312" w:hAnsi="仿宋_GB2312" w:cs="仿宋_GB2312"/>
                <w:color w:val="000000"/>
                <w:sz w:val="24"/>
              </w:rPr>
            </w:pPr>
          </w:p>
        </w:tc>
        <w:tc>
          <w:tcPr>
            <w:tcW w:w="736" w:type="dxa"/>
            <w:noWrap w:val="0"/>
            <w:vAlign w:val="top"/>
          </w:tcPr>
          <w:p>
            <w:pPr>
              <w:adjustRightInd w:val="0"/>
              <w:spacing w:line="240" w:lineRule="exact"/>
              <w:rPr>
                <w:rFonts w:hint="eastAsia" w:ascii="仿宋_GB2312" w:hAnsi="仿宋_GB2312" w:cs="仿宋_GB2312"/>
                <w:color w:val="000000"/>
              </w:rPr>
            </w:pPr>
          </w:p>
        </w:tc>
        <w:tc>
          <w:tcPr>
            <w:tcW w:w="1020" w:type="dxa"/>
            <w:noWrap w:val="0"/>
            <w:vAlign w:val="top"/>
          </w:tcPr>
          <w:p>
            <w:pPr>
              <w:adjustRightInd w:val="0"/>
              <w:spacing w:line="240" w:lineRule="exact"/>
              <w:rPr>
                <w:rFonts w:ascii="Calibri" w:hAnsi="Calibri" w:eastAsia="宋体"/>
                <w:color w:val="000000"/>
                <w:sz w:val="21"/>
              </w:rPr>
            </w:pPr>
          </w:p>
        </w:tc>
        <w:tc>
          <w:tcPr>
            <w:tcW w:w="720" w:type="dxa"/>
            <w:noWrap w:val="0"/>
            <w:vAlign w:val="top"/>
          </w:tcPr>
          <w:p>
            <w:pPr>
              <w:adjustRightInd w:val="0"/>
              <w:spacing w:line="240" w:lineRule="exact"/>
              <w:rPr>
                <w:color w:val="000000"/>
              </w:rPr>
            </w:pPr>
          </w:p>
        </w:tc>
        <w:tc>
          <w:tcPr>
            <w:tcW w:w="750" w:type="dxa"/>
            <w:noWrap w:val="0"/>
            <w:vAlign w:val="top"/>
          </w:tcPr>
          <w:p>
            <w:pPr>
              <w:adjustRightInd w:val="0"/>
              <w:spacing w:line="240" w:lineRule="exact"/>
              <w:rPr>
                <w:color w:val="000000"/>
              </w:rPr>
            </w:pPr>
          </w:p>
        </w:tc>
        <w:tc>
          <w:tcPr>
            <w:tcW w:w="526" w:type="dxa"/>
            <w:noWrap w:val="0"/>
            <w:vAlign w:val="top"/>
          </w:tcPr>
          <w:p>
            <w:pPr>
              <w:adjustRightInd w:val="0"/>
              <w:spacing w:line="240" w:lineRule="exact"/>
              <w:rPr>
                <w:rFonts w:ascii="Calibri" w:hAnsi="Calibri" w:eastAsia="宋体"/>
                <w:color w:val="000000"/>
                <w:sz w:val="21"/>
              </w:rPr>
            </w:pPr>
          </w:p>
        </w:tc>
        <w:tc>
          <w:tcPr>
            <w:tcW w:w="695" w:type="dxa"/>
            <w:noWrap w:val="0"/>
            <w:vAlign w:val="top"/>
          </w:tcPr>
          <w:p>
            <w:pPr>
              <w:adjustRightInd w:val="0"/>
              <w:spacing w:line="240" w:lineRule="exact"/>
              <w:rPr>
                <w:rFonts w:ascii="Calibri" w:hAnsi="Calibri" w:eastAsia="宋体"/>
                <w:color w:val="000000"/>
                <w:sz w:val="21"/>
              </w:rPr>
            </w:pPr>
          </w:p>
        </w:tc>
        <w:tc>
          <w:tcPr>
            <w:tcW w:w="765" w:type="dxa"/>
            <w:noWrap w:val="0"/>
            <w:vAlign w:val="top"/>
          </w:tcPr>
          <w:p>
            <w:pPr>
              <w:adjustRightInd w:val="0"/>
              <w:spacing w:line="240" w:lineRule="exact"/>
              <w:rPr>
                <w:rFonts w:ascii="Calibri" w:hAnsi="Calibri" w:eastAsia="宋体"/>
                <w:color w:val="000000"/>
                <w:sz w:val="21"/>
              </w:rPr>
            </w:pPr>
          </w:p>
        </w:tc>
        <w:tc>
          <w:tcPr>
            <w:tcW w:w="705" w:type="dxa"/>
            <w:noWrap w:val="0"/>
            <w:vAlign w:val="top"/>
          </w:tcPr>
          <w:p>
            <w:pPr>
              <w:adjustRightInd w:val="0"/>
              <w:spacing w:line="240" w:lineRule="exact"/>
              <w:rPr>
                <w:rFonts w:ascii="Calibri" w:hAnsi="Calibri" w:eastAsia="宋体"/>
                <w:color w:val="000000"/>
                <w:sz w:val="21"/>
              </w:rPr>
            </w:pPr>
          </w:p>
        </w:tc>
        <w:tc>
          <w:tcPr>
            <w:tcW w:w="729" w:type="dxa"/>
            <w:noWrap w:val="0"/>
            <w:vAlign w:val="top"/>
          </w:tcPr>
          <w:p>
            <w:pPr>
              <w:adjustRightInd w:val="0"/>
              <w:spacing w:line="240" w:lineRule="exact"/>
              <w:rPr>
                <w:rFonts w:ascii="Calibri" w:hAnsi="Calibri" w:eastAsia="宋体"/>
                <w:color w:val="000000"/>
                <w:sz w:val="21"/>
              </w:rPr>
            </w:pPr>
          </w:p>
        </w:tc>
        <w:tc>
          <w:tcPr>
            <w:tcW w:w="735" w:type="dxa"/>
            <w:noWrap w:val="0"/>
            <w:vAlign w:val="top"/>
          </w:tcPr>
          <w:p>
            <w:pPr>
              <w:adjustRightInd w:val="0"/>
              <w:spacing w:line="240" w:lineRule="exact"/>
              <w:rPr>
                <w:rFonts w:ascii="Calibri" w:hAnsi="Calibri" w:eastAsia="宋体"/>
                <w:color w:val="000000"/>
                <w:sz w:val="21"/>
              </w:rPr>
            </w:pPr>
          </w:p>
        </w:tc>
        <w:tc>
          <w:tcPr>
            <w:tcW w:w="825" w:type="dxa"/>
            <w:noWrap w:val="0"/>
            <w:vAlign w:val="top"/>
          </w:tcPr>
          <w:p>
            <w:pPr>
              <w:adjustRightInd w:val="0"/>
              <w:spacing w:line="240" w:lineRule="exact"/>
              <w:rPr>
                <w:rFonts w:ascii="Calibri" w:hAnsi="Calibri" w:eastAsia="宋体"/>
                <w:color w:val="000000"/>
                <w:sz w:val="21"/>
              </w:rPr>
            </w:pPr>
          </w:p>
        </w:tc>
        <w:tc>
          <w:tcPr>
            <w:tcW w:w="570" w:type="dxa"/>
            <w:noWrap w:val="0"/>
            <w:vAlign w:val="top"/>
          </w:tcPr>
          <w:p>
            <w:pPr>
              <w:adjustRightInd w:val="0"/>
              <w:spacing w:line="240" w:lineRule="exact"/>
              <w:rPr>
                <w:rFonts w:ascii="Calibri" w:hAnsi="Calibri" w:eastAsia="宋体"/>
                <w:color w:val="000000"/>
                <w:sz w:val="21"/>
              </w:rPr>
            </w:pPr>
          </w:p>
        </w:tc>
        <w:tc>
          <w:tcPr>
            <w:tcW w:w="855" w:type="dxa"/>
            <w:noWrap w:val="0"/>
            <w:vAlign w:val="top"/>
          </w:tcPr>
          <w:p>
            <w:pPr>
              <w:adjustRightInd w:val="0"/>
              <w:spacing w:line="240" w:lineRule="exact"/>
              <w:rPr>
                <w:color w:val="000000"/>
              </w:rPr>
            </w:pPr>
          </w:p>
        </w:tc>
        <w:tc>
          <w:tcPr>
            <w:tcW w:w="885" w:type="dxa"/>
            <w:noWrap w:val="0"/>
            <w:vAlign w:val="top"/>
          </w:tcPr>
          <w:p>
            <w:pPr>
              <w:adjustRightInd w:val="0"/>
              <w:spacing w:line="240" w:lineRule="exact"/>
              <w:rPr>
                <w:color w:val="000000"/>
              </w:rPr>
            </w:pPr>
          </w:p>
        </w:tc>
        <w:tc>
          <w:tcPr>
            <w:tcW w:w="600" w:type="dxa"/>
            <w:noWrap w:val="0"/>
            <w:vAlign w:val="top"/>
          </w:tcPr>
          <w:p>
            <w:pPr>
              <w:adjustRightInd w:val="0"/>
              <w:spacing w:line="240" w:lineRule="exact"/>
              <w:rPr>
                <w:color w:val="000000"/>
              </w:rPr>
            </w:pPr>
          </w:p>
        </w:tc>
        <w:tc>
          <w:tcPr>
            <w:tcW w:w="570" w:type="dxa"/>
            <w:noWrap w:val="0"/>
            <w:vAlign w:val="top"/>
          </w:tcPr>
          <w:p>
            <w:pPr>
              <w:adjustRightInd w:val="0"/>
              <w:spacing w:line="240" w:lineRule="exact"/>
              <w:rPr>
                <w:color w:val="000000"/>
              </w:rPr>
            </w:pPr>
          </w:p>
        </w:tc>
        <w:tc>
          <w:tcPr>
            <w:tcW w:w="865" w:type="dxa"/>
            <w:noWrap w:val="0"/>
            <w:vAlign w:val="top"/>
          </w:tcPr>
          <w:p>
            <w:pPr>
              <w:adjustRightInd w:val="0"/>
              <w:spacing w:line="24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41" w:hRule="atLeast"/>
        </w:trPr>
        <w:tc>
          <w:tcPr>
            <w:tcW w:w="713" w:type="dxa"/>
            <w:noWrap w:val="0"/>
            <w:vAlign w:val="center"/>
          </w:tcPr>
          <w:p>
            <w:pPr>
              <w:adjustRightInd w:val="0"/>
              <w:spacing w:line="240" w:lineRule="exact"/>
              <w:rPr>
                <w:rFonts w:hint="eastAsia" w:ascii="仿宋_GB2312" w:hAnsi="仿宋_GB2312" w:cs="仿宋_GB2312"/>
                <w:color w:val="000000"/>
                <w:sz w:val="24"/>
              </w:rPr>
            </w:pPr>
          </w:p>
        </w:tc>
        <w:tc>
          <w:tcPr>
            <w:tcW w:w="736" w:type="dxa"/>
            <w:noWrap w:val="0"/>
            <w:vAlign w:val="top"/>
          </w:tcPr>
          <w:p>
            <w:pPr>
              <w:adjustRightInd w:val="0"/>
              <w:spacing w:line="240" w:lineRule="exact"/>
              <w:rPr>
                <w:rFonts w:hint="eastAsia" w:ascii="仿宋_GB2312" w:hAnsi="仿宋_GB2312" w:cs="仿宋_GB2312"/>
                <w:color w:val="000000"/>
              </w:rPr>
            </w:pPr>
          </w:p>
        </w:tc>
        <w:tc>
          <w:tcPr>
            <w:tcW w:w="1020" w:type="dxa"/>
            <w:noWrap w:val="0"/>
            <w:vAlign w:val="top"/>
          </w:tcPr>
          <w:p>
            <w:pPr>
              <w:adjustRightInd w:val="0"/>
              <w:spacing w:line="240" w:lineRule="exact"/>
              <w:rPr>
                <w:rFonts w:ascii="Calibri" w:hAnsi="Calibri" w:eastAsia="宋体"/>
                <w:color w:val="000000"/>
                <w:sz w:val="21"/>
              </w:rPr>
            </w:pPr>
          </w:p>
        </w:tc>
        <w:tc>
          <w:tcPr>
            <w:tcW w:w="720" w:type="dxa"/>
            <w:noWrap w:val="0"/>
            <w:vAlign w:val="top"/>
          </w:tcPr>
          <w:p>
            <w:pPr>
              <w:adjustRightInd w:val="0"/>
              <w:spacing w:line="240" w:lineRule="exact"/>
              <w:rPr>
                <w:color w:val="000000"/>
              </w:rPr>
            </w:pPr>
          </w:p>
        </w:tc>
        <w:tc>
          <w:tcPr>
            <w:tcW w:w="750" w:type="dxa"/>
            <w:noWrap w:val="0"/>
            <w:vAlign w:val="top"/>
          </w:tcPr>
          <w:p>
            <w:pPr>
              <w:adjustRightInd w:val="0"/>
              <w:spacing w:line="240" w:lineRule="exact"/>
              <w:rPr>
                <w:color w:val="000000"/>
              </w:rPr>
            </w:pPr>
          </w:p>
        </w:tc>
        <w:tc>
          <w:tcPr>
            <w:tcW w:w="526" w:type="dxa"/>
            <w:noWrap w:val="0"/>
            <w:vAlign w:val="top"/>
          </w:tcPr>
          <w:p>
            <w:pPr>
              <w:adjustRightInd w:val="0"/>
              <w:spacing w:line="240" w:lineRule="exact"/>
              <w:rPr>
                <w:rFonts w:ascii="Calibri" w:hAnsi="Calibri" w:eastAsia="宋体"/>
                <w:color w:val="000000"/>
                <w:sz w:val="21"/>
              </w:rPr>
            </w:pPr>
          </w:p>
        </w:tc>
        <w:tc>
          <w:tcPr>
            <w:tcW w:w="695" w:type="dxa"/>
            <w:noWrap w:val="0"/>
            <w:vAlign w:val="top"/>
          </w:tcPr>
          <w:p>
            <w:pPr>
              <w:adjustRightInd w:val="0"/>
              <w:spacing w:line="240" w:lineRule="exact"/>
              <w:rPr>
                <w:rFonts w:ascii="Calibri" w:hAnsi="Calibri" w:eastAsia="宋体"/>
                <w:color w:val="000000"/>
                <w:sz w:val="21"/>
              </w:rPr>
            </w:pPr>
          </w:p>
        </w:tc>
        <w:tc>
          <w:tcPr>
            <w:tcW w:w="765" w:type="dxa"/>
            <w:noWrap w:val="0"/>
            <w:vAlign w:val="top"/>
          </w:tcPr>
          <w:p>
            <w:pPr>
              <w:adjustRightInd w:val="0"/>
              <w:spacing w:line="240" w:lineRule="exact"/>
              <w:rPr>
                <w:rFonts w:ascii="Calibri" w:hAnsi="Calibri" w:eastAsia="宋体"/>
                <w:color w:val="000000"/>
                <w:sz w:val="21"/>
              </w:rPr>
            </w:pPr>
          </w:p>
        </w:tc>
        <w:tc>
          <w:tcPr>
            <w:tcW w:w="705" w:type="dxa"/>
            <w:noWrap w:val="0"/>
            <w:vAlign w:val="top"/>
          </w:tcPr>
          <w:p>
            <w:pPr>
              <w:adjustRightInd w:val="0"/>
              <w:spacing w:line="240" w:lineRule="exact"/>
              <w:rPr>
                <w:rFonts w:ascii="Calibri" w:hAnsi="Calibri" w:eastAsia="宋体"/>
                <w:color w:val="000000"/>
                <w:sz w:val="21"/>
              </w:rPr>
            </w:pPr>
          </w:p>
        </w:tc>
        <w:tc>
          <w:tcPr>
            <w:tcW w:w="729" w:type="dxa"/>
            <w:noWrap w:val="0"/>
            <w:vAlign w:val="top"/>
          </w:tcPr>
          <w:p>
            <w:pPr>
              <w:adjustRightInd w:val="0"/>
              <w:spacing w:line="240" w:lineRule="exact"/>
              <w:rPr>
                <w:rFonts w:ascii="Calibri" w:hAnsi="Calibri" w:eastAsia="宋体"/>
                <w:color w:val="000000"/>
                <w:sz w:val="21"/>
              </w:rPr>
            </w:pPr>
          </w:p>
        </w:tc>
        <w:tc>
          <w:tcPr>
            <w:tcW w:w="735" w:type="dxa"/>
            <w:noWrap w:val="0"/>
            <w:vAlign w:val="top"/>
          </w:tcPr>
          <w:p>
            <w:pPr>
              <w:adjustRightInd w:val="0"/>
              <w:spacing w:line="240" w:lineRule="exact"/>
              <w:rPr>
                <w:rFonts w:ascii="Calibri" w:hAnsi="Calibri" w:eastAsia="宋体"/>
                <w:color w:val="000000"/>
                <w:sz w:val="21"/>
              </w:rPr>
            </w:pPr>
          </w:p>
        </w:tc>
        <w:tc>
          <w:tcPr>
            <w:tcW w:w="825" w:type="dxa"/>
            <w:noWrap w:val="0"/>
            <w:vAlign w:val="top"/>
          </w:tcPr>
          <w:p>
            <w:pPr>
              <w:adjustRightInd w:val="0"/>
              <w:spacing w:line="240" w:lineRule="exact"/>
              <w:rPr>
                <w:rFonts w:ascii="Calibri" w:hAnsi="Calibri" w:eastAsia="宋体"/>
                <w:color w:val="000000"/>
                <w:sz w:val="21"/>
              </w:rPr>
            </w:pPr>
          </w:p>
        </w:tc>
        <w:tc>
          <w:tcPr>
            <w:tcW w:w="570" w:type="dxa"/>
            <w:noWrap w:val="0"/>
            <w:vAlign w:val="top"/>
          </w:tcPr>
          <w:p>
            <w:pPr>
              <w:adjustRightInd w:val="0"/>
              <w:spacing w:line="240" w:lineRule="exact"/>
              <w:rPr>
                <w:rFonts w:ascii="Calibri" w:hAnsi="Calibri" w:eastAsia="宋体"/>
                <w:color w:val="000000"/>
                <w:sz w:val="21"/>
              </w:rPr>
            </w:pPr>
          </w:p>
        </w:tc>
        <w:tc>
          <w:tcPr>
            <w:tcW w:w="855" w:type="dxa"/>
            <w:noWrap w:val="0"/>
            <w:vAlign w:val="top"/>
          </w:tcPr>
          <w:p>
            <w:pPr>
              <w:adjustRightInd w:val="0"/>
              <w:spacing w:line="240" w:lineRule="exact"/>
              <w:rPr>
                <w:color w:val="000000"/>
              </w:rPr>
            </w:pPr>
          </w:p>
        </w:tc>
        <w:tc>
          <w:tcPr>
            <w:tcW w:w="885" w:type="dxa"/>
            <w:noWrap w:val="0"/>
            <w:vAlign w:val="top"/>
          </w:tcPr>
          <w:p>
            <w:pPr>
              <w:adjustRightInd w:val="0"/>
              <w:spacing w:line="240" w:lineRule="exact"/>
              <w:rPr>
                <w:color w:val="000000"/>
              </w:rPr>
            </w:pPr>
          </w:p>
        </w:tc>
        <w:tc>
          <w:tcPr>
            <w:tcW w:w="600" w:type="dxa"/>
            <w:noWrap w:val="0"/>
            <w:vAlign w:val="top"/>
          </w:tcPr>
          <w:p>
            <w:pPr>
              <w:adjustRightInd w:val="0"/>
              <w:spacing w:line="240" w:lineRule="exact"/>
              <w:rPr>
                <w:color w:val="000000"/>
              </w:rPr>
            </w:pPr>
          </w:p>
        </w:tc>
        <w:tc>
          <w:tcPr>
            <w:tcW w:w="570" w:type="dxa"/>
            <w:noWrap w:val="0"/>
            <w:vAlign w:val="top"/>
          </w:tcPr>
          <w:p>
            <w:pPr>
              <w:adjustRightInd w:val="0"/>
              <w:spacing w:line="240" w:lineRule="exact"/>
              <w:rPr>
                <w:color w:val="000000"/>
              </w:rPr>
            </w:pPr>
          </w:p>
        </w:tc>
        <w:tc>
          <w:tcPr>
            <w:tcW w:w="865" w:type="dxa"/>
            <w:noWrap w:val="0"/>
            <w:vAlign w:val="top"/>
          </w:tcPr>
          <w:p>
            <w:pPr>
              <w:adjustRightInd w:val="0"/>
              <w:spacing w:line="240" w:lineRule="exac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41" w:hRule="atLeast"/>
        </w:trPr>
        <w:tc>
          <w:tcPr>
            <w:tcW w:w="713" w:type="dxa"/>
            <w:noWrap w:val="0"/>
            <w:vAlign w:val="center"/>
          </w:tcPr>
          <w:p>
            <w:pPr>
              <w:adjustRightInd w:val="0"/>
              <w:spacing w:line="240" w:lineRule="exact"/>
              <w:rPr>
                <w:rFonts w:hint="eastAsia" w:ascii="仿宋_GB2312" w:hAnsi="仿宋_GB2312" w:cs="仿宋_GB2312"/>
                <w:color w:val="000000"/>
                <w:sz w:val="24"/>
              </w:rPr>
            </w:pPr>
            <w:r>
              <w:rPr>
                <w:rFonts w:hint="eastAsia" w:ascii="仿宋_GB2312" w:hAnsi="仿宋_GB2312" w:cs="仿宋_GB2312"/>
                <w:b/>
                <w:bCs/>
                <w:color w:val="000000"/>
                <w:sz w:val="28"/>
                <w:szCs w:val="28"/>
              </w:rPr>
              <w:t>合计</w:t>
            </w:r>
          </w:p>
        </w:tc>
        <w:tc>
          <w:tcPr>
            <w:tcW w:w="736" w:type="dxa"/>
            <w:noWrap w:val="0"/>
            <w:vAlign w:val="top"/>
          </w:tcPr>
          <w:p>
            <w:pPr>
              <w:adjustRightInd w:val="0"/>
              <w:spacing w:line="240" w:lineRule="exact"/>
              <w:rPr>
                <w:rFonts w:hint="eastAsia" w:ascii="仿宋_GB2312" w:hAnsi="仿宋_GB2312" w:cs="仿宋_GB2312"/>
                <w:color w:val="000000"/>
              </w:rPr>
            </w:pPr>
          </w:p>
        </w:tc>
        <w:tc>
          <w:tcPr>
            <w:tcW w:w="1020" w:type="dxa"/>
            <w:noWrap w:val="0"/>
            <w:vAlign w:val="top"/>
          </w:tcPr>
          <w:p>
            <w:pPr>
              <w:adjustRightInd w:val="0"/>
              <w:spacing w:line="240" w:lineRule="exact"/>
              <w:rPr>
                <w:rFonts w:ascii="Calibri" w:hAnsi="Calibri" w:eastAsia="宋体"/>
                <w:color w:val="000000"/>
                <w:sz w:val="21"/>
              </w:rPr>
            </w:pPr>
          </w:p>
        </w:tc>
        <w:tc>
          <w:tcPr>
            <w:tcW w:w="720" w:type="dxa"/>
            <w:noWrap w:val="0"/>
            <w:vAlign w:val="top"/>
          </w:tcPr>
          <w:p>
            <w:pPr>
              <w:adjustRightInd w:val="0"/>
              <w:spacing w:line="240" w:lineRule="exact"/>
              <w:rPr>
                <w:color w:val="000000"/>
              </w:rPr>
            </w:pPr>
          </w:p>
        </w:tc>
        <w:tc>
          <w:tcPr>
            <w:tcW w:w="750" w:type="dxa"/>
            <w:noWrap w:val="0"/>
            <w:vAlign w:val="top"/>
          </w:tcPr>
          <w:p>
            <w:pPr>
              <w:adjustRightInd w:val="0"/>
              <w:spacing w:line="240" w:lineRule="exact"/>
              <w:rPr>
                <w:color w:val="000000"/>
              </w:rPr>
            </w:pPr>
          </w:p>
        </w:tc>
        <w:tc>
          <w:tcPr>
            <w:tcW w:w="526" w:type="dxa"/>
            <w:noWrap w:val="0"/>
            <w:vAlign w:val="top"/>
          </w:tcPr>
          <w:p>
            <w:pPr>
              <w:adjustRightInd w:val="0"/>
              <w:spacing w:line="240" w:lineRule="exact"/>
              <w:rPr>
                <w:rFonts w:ascii="Calibri" w:hAnsi="Calibri" w:eastAsia="宋体"/>
                <w:color w:val="000000"/>
                <w:sz w:val="21"/>
              </w:rPr>
            </w:pPr>
          </w:p>
        </w:tc>
        <w:tc>
          <w:tcPr>
            <w:tcW w:w="695" w:type="dxa"/>
            <w:noWrap w:val="0"/>
            <w:vAlign w:val="top"/>
          </w:tcPr>
          <w:p>
            <w:pPr>
              <w:adjustRightInd w:val="0"/>
              <w:spacing w:line="240" w:lineRule="exact"/>
              <w:rPr>
                <w:rFonts w:ascii="Calibri" w:hAnsi="Calibri" w:eastAsia="宋体"/>
                <w:color w:val="000000"/>
                <w:sz w:val="21"/>
              </w:rPr>
            </w:pPr>
          </w:p>
        </w:tc>
        <w:tc>
          <w:tcPr>
            <w:tcW w:w="765" w:type="dxa"/>
            <w:noWrap w:val="0"/>
            <w:vAlign w:val="top"/>
          </w:tcPr>
          <w:p>
            <w:pPr>
              <w:adjustRightInd w:val="0"/>
              <w:spacing w:line="240" w:lineRule="exact"/>
              <w:rPr>
                <w:rFonts w:ascii="Calibri" w:hAnsi="Calibri" w:eastAsia="宋体"/>
                <w:color w:val="000000"/>
                <w:sz w:val="21"/>
              </w:rPr>
            </w:pPr>
          </w:p>
        </w:tc>
        <w:tc>
          <w:tcPr>
            <w:tcW w:w="705" w:type="dxa"/>
            <w:noWrap w:val="0"/>
            <w:vAlign w:val="top"/>
          </w:tcPr>
          <w:p>
            <w:pPr>
              <w:adjustRightInd w:val="0"/>
              <w:spacing w:line="240" w:lineRule="exact"/>
              <w:rPr>
                <w:rFonts w:ascii="Calibri" w:hAnsi="Calibri" w:eastAsia="宋体"/>
                <w:color w:val="000000"/>
                <w:sz w:val="21"/>
              </w:rPr>
            </w:pPr>
          </w:p>
        </w:tc>
        <w:tc>
          <w:tcPr>
            <w:tcW w:w="729" w:type="dxa"/>
            <w:noWrap w:val="0"/>
            <w:vAlign w:val="top"/>
          </w:tcPr>
          <w:p>
            <w:pPr>
              <w:adjustRightInd w:val="0"/>
              <w:spacing w:line="240" w:lineRule="exact"/>
              <w:rPr>
                <w:rFonts w:ascii="Calibri" w:hAnsi="Calibri" w:eastAsia="宋体"/>
                <w:color w:val="000000"/>
                <w:sz w:val="21"/>
              </w:rPr>
            </w:pPr>
          </w:p>
        </w:tc>
        <w:tc>
          <w:tcPr>
            <w:tcW w:w="735" w:type="dxa"/>
            <w:noWrap w:val="0"/>
            <w:vAlign w:val="top"/>
          </w:tcPr>
          <w:p>
            <w:pPr>
              <w:adjustRightInd w:val="0"/>
              <w:spacing w:line="240" w:lineRule="exact"/>
              <w:rPr>
                <w:rFonts w:ascii="Calibri" w:hAnsi="Calibri" w:eastAsia="宋体"/>
                <w:color w:val="000000"/>
                <w:sz w:val="21"/>
              </w:rPr>
            </w:pPr>
          </w:p>
        </w:tc>
        <w:tc>
          <w:tcPr>
            <w:tcW w:w="825" w:type="dxa"/>
            <w:noWrap w:val="0"/>
            <w:vAlign w:val="top"/>
          </w:tcPr>
          <w:p>
            <w:pPr>
              <w:adjustRightInd w:val="0"/>
              <w:spacing w:line="240" w:lineRule="exact"/>
              <w:rPr>
                <w:rFonts w:ascii="Calibri" w:hAnsi="Calibri" w:eastAsia="宋体"/>
                <w:color w:val="000000"/>
                <w:sz w:val="21"/>
              </w:rPr>
            </w:pPr>
          </w:p>
        </w:tc>
        <w:tc>
          <w:tcPr>
            <w:tcW w:w="570" w:type="dxa"/>
            <w:noWrap w:val="0"/>
            <w:vAlign w:val="top"/>
          </w:tcPr>
          <w:p>
            <w:pPr>
              <w:adjustRightInd w:val="0"/>
              <w:spacing w:line="240" w:lineRule="exact"/>
              <w:rPr>
                <w:rFonts w:ascii="Calibri" w:hAnsi="Calibri" w:eastAsia="宋体"/>
                <w:color w:val="000000"/>
                <w:sz w:val="21"/>
              </w:rPr>
            </w:pPr>
          </w:p>
        </w:tc>
        <w:tc>
          <w:tcPr>
            <w:tcW w:w="855" w:type="dxa"/>
            <w:noWrap w:val="0"/>
            <w:vAlign w:val="top"/>
          </w:tcPr>
          <w:p>
            <w:pPr>
              <w:adjustRightInd w:val="0"/>
              <w:spacing w:line="240" w:lineRule="exact"/>
              <w:rPr>
                <w:color w:val="000000"/>
              </w:rPr>
            </w:pPr>
          </w:p>
        </w:tc>
        <w:tc>
          <w:tcPr>
            <w:tcW w:w="885" w:type="dxa"/>
            <w:noWrap w:val="0"/>
            <w:vAlign w:val="top"/>
          </w:tcPr>
          <w:p>
            <w:pPr>
              <w:adjustRightInd w:val="0"/>
              <w:spacing w:line="240" w:lineRule="exact"/>
              <w:rPr>
                <w:color w:val="000000"/>
              </w:rPr>
            </w:pPr>
          </w:p>
        </w:tc>
        <w:tc>
          <w:tcPr>
            <w:tcW w:w="600" w:type="dxa"/>
            <w:noWrap w:val="0"/>
            <w:vAlign w:val="top"/>
          </w:tcPr>
          <w:p>
            <w:pPr>
              <w:adjustRightInd w:val="0"/>
              <w:spacing w:line="240" w:lineRule="exact"/>
              <w:rPr>
                <w:color w:val="000000"/>
              </w:rPr>
            </w:pPr>
          </w:p>
        </w:tc>
        <w:tc>
          <w:tcPr>
            <w:tcW w:w="570" w:type="dxa"/>
            <w:noWrap w:val="0"/>
            <w:vAlign w:val="top"/>
          </w:tcPr>
          <w:p>
            <w:pPr>
              <w:adjustRightInd w:val="0"/>
              <w:spacing w:line="240" w:lineRule="exact"/>
              <w:rPr>
                <w:color w:val="000000"/>
              </w:rPr>
            </w:pPr>
          </w:p>
        </w:tc>
        <w:tc>
          <w:tcPr>
            <w:tcW w:w="865" w:type="dxa"/>
            <w:noWrap w:val="0"/>
            <w:vAlign w:val="top"/>
          </w:tcPr>
          <w:p>
            <w:pPr>
              <w:adjustRightInd w:val="0"/>
              <w:spacing w:line="240" w:lineRule="exact"/>
              <w:rPr>
                <w:color w:val="000000"/>
              </w:rPr>
            </w:pPr>
          </w:p>
        </w:tc>
      </w:tr>
    </w:tbl>
    <w:p>
      <w:pPr>
        <w:tabs>
          <w:tab w:val="left" w:pos="1363"/>
        </w:tabs>
        <w:rPr>
          <w:rFonts w:hint="eastAsia" w:ascii="黑体" w:hAnsi="黑体" w:eastAsia="黑体" w:cs="黑体"/>
          <w:color w:val="000000"/>
          <w:sz w:val="24"/>
          <w:u w:val="single"/>
        </w:rPr>
      </w:pPr>
      <w:r>
        <w:rPr>
          <w:rFonts w:hint="eastAsia" w:ascii="黑体" w:hAnsi="黑体" w:eastAsia="黑体" w:cs="黑体"/>
          <w:color w:val="000000"/>
          <w:sz w:val="24"/>
        </w:rPr>
        <w:t>单位：</w:t>
      </w:r>
      <w:r>
        <w:rPr>
          <w:rFonts w:hint="eastAsia" w:ascii="黑体" w:hAnsi="黑体" w:eastAsia="黑体" w:cs="黑体"/>
          <w:color w:val="000000"/>
          <w:sz w:val="24"/>
          <w:u w:val="single"/>
        </w:rPr>
        <w:t xml:space="preserve">                      </w:t>
      </w:r>
    </w:p>
    <w:p>
      <w:pPr>
        <w:tabs>
          <w:tab w:val="left" w:pos="1363"/>
        </w:tabs>
        <w:rPr>
          <w:rFonts w:hint="eastAsia" w:ascii="黑体" w:hAnsi="黑体" w:eastAsia="黑体" w:cs="黑体"/>
          <w:color w:val="000000"/>
          <w:sz w:val="24"/>
        </w:rPr>
      </w:pPr>
    </w:p>
    <w:p>
      <w:pPr>
        <w:tabs>
          <w:tab w:val="left" w:pos="1363"/>
        </w:tabs>
        <w:rPr>
          <w:rFonts w:hint="eastAsia" w:ascii="黑体" w:hAnsi="黑体" w:eastAsia="黑体" w:cs="黑体"/>
          <w:color w:val="000000"/>
          <w:sz w:val="24"/>
        </w:rPr>
      </w:pPr>
      <w:r>
        <w:rPr>
          <w:rFonts w:hint="eastAsia" w:ascii="黑体" w:hAnsi="黑体" w:eastAsia="黑体" w:cs="黑体"/>
          <w:color w:val="000000"/>
          <w:sz w:val="24"/>
        </w:rPr>
        <w:t>填表人：</w:t>
      </w:r>
      <w:r>
        <w:rPr>
          <w:rFonts w:hint="eastAsia" w:ascii="黑体" w:hAnsi="黑体" w:eastAsia="黑体" w:cs="黑体"/>
          <w:color w:val="000000"/>
          <w:sz w:val="24"/>
          <w:u w:val="single"/>
        </w:rPr>
        <w:t xml:space="preserve">               </w:t>
      </w:r>
      <w:r>
        <w:rPr>
          <w:rFonts w:hint="eastAsia" w:ascii="黑体" w:hAnsi="黑体" w:eastAsia="黑体" w:cs="黑体"/>
          <w:color w:val="000000"/>
          <w:sz w:val="24"/>
        </w:rPr>
        <w:t xml:space="preserve">                                     联系方式：</w:t>
      </w:r>
      <w:r>
        <w:rPr>
          <w:rFonts w:hint="eastAsia" w:ascii="黑体" w:hAnsi="黑体" w:eastAsia="黑体" w:cs="黑体"/>
          <w:color w:val="000000"/>
          <w:sz w:val="24"/>
          <w:u w:val="single"/>
        </w:rPr>
        <w:t xml:space="preserve">             </w:t>
      </w:r>
    </w:p>
    <w:p>
      <w:pPr>
        <w:tabs>
          <w:tab w:val="left" w:pos="1363"/>
        </w:tabs>
        <w:rPr>
          <w:rFonts w:hint="eastAsia" w:ascii="黑体" w:hAnsi="黑体" w:eastAsia="黑体" w:cs="黑体"/>
          <w:color w:val="000000"/>
          <w:sz w:val="24"/>
        </w:rPr>
      </w:pPr>
    </w:p>
    <w:p>
      <w:pPr>
        <w:tabs>
          <w:tab w:val="left" w:pos="1363"/>
        </w:tabs>
        <w:rPr>
          <w:rFonts w:hint="eastAsia" w:ascii="黑体" w:hAnsi="黑体" w:eastAsia="黑体" w:cs="黑体"/>
          <w:color w:val="000000"/>
          <w:szCs w:val="32"/>
        </w:rPr>
      </w:pPr>
      <w:r>
        <w:rPr>
          <w:rFonts w:hint="eastAsia" w:ascii="黑体" w:hAnsi="黑体" w:eastAsia="黑体" w:cs="黑体"/>
          <w:color w:val="000000"/>
          <w:sz w:val="24"/>
        </w:rPr>
        <w:t>注：填表人以及联系方式务必</w:t>
      </w:r>
      <w:r>
        <w:rPr>
          <w:rFonts w:hint="eastAsia" w:ascii="黑体" w:hAnsi="黑体" w:eastAsia="黑体" w:cs="黑体"/>
          <w:strike/>
          <w:color w:val="000000"/>
          <w:sz w:val="24"/>
        </w:rPr>
        <w:t>要</w:t>
      </w:r>
      <w:r>
        <w:rPr>
          <w:rFonts w:hint="eastAsia" w:ascii="黑体" w:hAnsi="黑体" w:eastAsia="黑体" w:cs="黑体"/>
          <w:color w:val="000000"/>
          <w:sz w:val="24"/>
        </w:rPr>
        <w:t>填写。各单位要认真审核辖区内各单位上报的数据，并进行合并计算。</w:t>
      </w:r>
    </w:p>
    <w:p>
      <w:pPr>
        <w:jc w:val="left"/>
        <w:rPr>
          <w:rFonts w:hint="eastAsia" w:ascii="黑体" w:hAnsi="黑体" w:eastAsia="黑体" w:cs="黑体"/>
          <w:szCs w:val="32"/>
        </w:rPr>
        <w:sectPr>
          <w:pgSz w:w="16838" w:h="11906" w:orient="landscape"/>
          <w:pgMar w:top="1474" w:right="1701" w:bottom="1474" w:left="1814" w:header="851" w:footer="1417" w:gutter="0"/>
          <w:cols w:space="720" w:num="1"/>
          <w:docGrid w:type="lines" w:linePitch="466" w:charSpace="0"/>
        </w:sectPr>
      </w:pPr>
    </w:p>
    <w:p>
      <w:pPr>
        <w:adjustRightInd w:val="0"/>
        <w:spacing w:line="600" w:lineRule="exact"/>
        <w:rPr>
          <w:rFonts w:hint="eastAsia" w:ascii="黑体" w:hAnsi="黑体" w:eastAsia="黑体" w:cs="黑体"/>
        </w:rPr>
      </w:pPr>
      <w:r>
        <w:rPr>
          <w:rFonts w:hint="eastAsia" w:ascii="黑体" w:hAnsi="黑体" w:eastAsia="黑体" w:cs="黑体"/>
        </w:rPr>
        <w:t>附件5</w:t>
      </w:r>
    </w:p>
    <w:p>
      <w:pPr>
        <w:adjustRightInd w:val="0"/>
        <w:spacing w:line="600" w:lineRule="exact"/>
        <w:jc w:val="center"/>
        <w:rPr>
          <w:rFonts w:hint="eastAsia" w:ascii="方正小标宋简体" w:hAnsi="方正小标宋简体" w:eastAsia="方正小标宋简体" w:cs="方正小标宋简体"/>
          <w:sz w:val="40"/>
          <w:szCs w:val="40"/>
        </w:rPr>
      </w:pPr>
    </w:p>
    <w:p>
      <w:pPr>
        <w:adjustRightInd w:val="0"/>
        <w:spacing w:line="600" w:lineRule="exact"/>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执法协作典型案例（模板）</w:t>
      </w:r>
    </w:p>
    <w:p>
      <w:pPr>
        <w:adjustRightInd w:val="0"/>
        <w:spacing w:line="600" w:lineRule="exact"/>
        <w:jc w:val="center"/>
        <w:rPr>
          <w:rFonts w:hint="eastAsia" w:ascii="方正小标宋简体" w:hAnsi="方正小标宋简体" w:eastAsia="方正小标宋简体" w:cs="方正小标宋简体"/>
          <w:sz w:val="40"/>
          <w:szCs w:val="40"/>
        </w:rPr>
      </w:pPr>
    </w:p>
    <w:p>
      <w:pPr>
        <w:adjustRightInd w:val="0"/>
        <w:spacing w:line="600" w:lineRule="exact"/>
        <w:ind w:firstLine="662" w:firstLineChars="200"/>
        <w:rPr>
          <w:rFonts w:hint="eastAsia" w:ascii="黑体" w:hAnsi="黑体" w:eastAsia="黑体" w:cs="黑体"/>
        </w:rPr>
      </w:pPr>
      <w:r>
        <w:rPr>
          <w:rFonts w:hint="eastAsia" w:ascii="黑体" w:hAnsi="黑体" w:eastAsia="黑体" w:cs="黑体"/>
        </w:rPr>
        <w:t>—、基本案情</w:t>
      </w:r>
    </w:p>
    <w:p>
      <w:pPr>
        <w:adjustRightInd w:val="0"/>
        <w:spacing w:line="600" w:lineRule="exact"/>
        <w:ind w:firstLine="662" w:firstLineChars="200"/>
        <w:rPr>
          <w:rFonts w:hint="eastAsia" w:ascii="仿宋" w:hAnsi="仿宋" w:eastAsia="仿宋"/>
        </w:rPr>
      </w:pPr>
      <w:r>
        <w:rPr>
          <w:rFonts w:hint="eastAsia" w:ascii="仿宋" w:hAnsi="仿宋" w:eastAsia="仿宋"/>
        </w:rPr>
        <w:t>说明案件类型、当事人、违法事实等。</w:t>
      </w:r>
    </w:p>
    <w:p>
      <w:pPr>
        <w:adjustRightInd w:val="0"/>
        <w:spacing w:line="600" w:lineRule="exact"/>
        <w:ind w:firstLine="662" w:firstLineChars="200"/>
        <w:rPr>
          <w:rFonts w:hint="eastAsia" w:ascii="黑体" w:hAnsi="黑体" w:eastAsia="黑体" w:cs="黑体"/>
        </w:rPr>
      </w:pPr>
      <w:r>
        <w:rPr>
          <w:rFonts w:hint="eastAsia" w:ascii="黑体" w:hAnsi="黑体" w:eastAsia="黑体" w:cs="黑体"/>
        </w:rPr>
        <w:t>二、执法协作成效</w:t>
      </w:r>
    </w:p>
    <w:p>
      <w:pPr>
        <w:adjustRightInd w:val="0"/>
        <w:spacing w:line="600" w:lineRule="exact"/>
        <w:ind w:firstLine="662" w:firstLineChars="200"/>
        <w:rPr>
          <w:rFonts w:hint="eastAsia" w:ascii="仿宋" w:hAnsi="仿宋" w:eastAsia="仿宋"/>
        </w:rPr>
      </w:pPr>
      <w:r>
        <w:rPr>
          <w:rFonts w:hint="eastAsia" w:ascii="仿宋" w:hAnsi="仿宋" w:eastAsia="仿宋"/>
        </w:rPr>
        <w:t>说明执法协作的过程、成效、案件处理结果等情况。</w:t>
      </w:r>
    </w:p>
    <w:p>
      <w:pPr>
        <w:adjustRightInd w:val="0"/>
        <w:spacing w:line="600" w:lineRule="exact"/>
        <w:ind w:firstLine="662" w:firstLineChars="200"/>
        <w:rPr>
          <w:rFonts w:hint="eastAsia" w:ascii="黑体" w:hAnsi="黑体" w:eastAsia="黑体" w:cs="黑体"/>
        </w:rPr>
      </w:pPr>
      <w:r>
        <w:rPr>
          <w:rFonts w:hint="eastAsia" w:ascii="黑体" w:hAnsi="黑体" w:eastAsia="黑体" w:cs="黑体"/>
        </w:rPr>
        <w:t>三、案例评析</w:t>
      </w:r>
    </w:p>
    <w:p>
      <w:pPr>
        <w:adjustRightInd w:val="0"/>
        <w:spacing w:line="600" w:lineRule="exact"/>
        <w:ind w:firstLine="662" w:firstLineChars="200"/>
        <w:rPr>
          <w:rFonts w:hint="eastAsia" w:ascii="仿宋" w:hAnsi="仿宋" w:eastAsia="仿宋"/>
        </w:rPr>
      </w:pPr>
      <w:r>
        <w:rPr>
          <w:rFonts w:hint="eastAsia" w:ascii="仿宋" w:hAnsi="仿宋" w:eastAsia="仿宋"/>
        </w:rPr>
        <w:t>说明对今后执法协作的借鉴或者参考意义。</w:t>
      </w:r>
    </w:p>
    <w:p>
      <w:pPr>
        <w:adjustRightInd w:val="0"/>
        <w:spacing w:line="600" w:lineRule="exact"/>
        <w:ind w:firstLine="662" w:firstLineChars="200"/>
        <w:rPr>
          <w:rFonts w:hint="eastAsia" w:ascii="仿宋" w:hAnsi="仿宋" w:eastAsia="仿宋"/>
        </w:rPr>
      </w:pPr>
    </w:p>
    <w:p>
      <w:pPr>
        <w:adjustRightInd w:val="0"/>
        <w:spacing w:line="600" w:lineRule="exact"/>
        <w:ind w:left="1655" w:leftChars="200" w:hanging="993" w:hangingChars="300"/>
        <w:rPr>
          <w:rFonts w:hint="eastAsia" w:ascii="仿宋" w:hAnsi="仿宋" w:eastAsia="仿宋"/>
        </w:rPr>
      </w:pPr>
      <w:r>
        <w:rPr>
          <w:rFonts w:hint="eastAsia" w:ascii="仿宋" w:hAnsi="仿宋" w:eastAsia="仿宋" w:cs="黑体"/>
        </w:rPr>
        <w:t>说明</w:t>
      </w:r>
      <w:r>
        <w:rPr>
          <w:rFonts w:hint="eastAsia" w:ascii="仿宋" w:hAnsi="仿宋" w:eastAsia="仿宋"/>
        </w:rPr>
        <w:t>：</w:t>
      </w:r>
      <w:r>
        <w:rPr>
          <w:rFonts w:hint="eastAsia" w:ascii="仿宋" w:hAnsi="仿宋" w:eastAsia="仿宋"/>
          <w:spacing w:val="-6"/>
        </w:rPr>
        <w:t>典型案例总字数为1000-3000字。语言要简明扼要、</w:t>
      </w:r>
      <w:r>
        <w:rPr>
          <w:rFonts w:hint="eastAsia" w:ascii="仿宋" w:hAnsi="仿宋" w:eastAsia="仿宋"/>
        </w:rPr>
        <w:t>说理清晰、逻辑性强，避免口语化。涉及国家秘密、商</w:t>
      </w:r>
      <w:r>
        <w:rPr>
          <w:rFonts w:hint="eastAsia" w:ascii="仿宋" w:hAnsi="仿宋" w:eastAsia="仿宋"/>
          <w:spacing w:val="-6"/>
        </w:rPr>
        <w:t>业秘密、个人隐私的，可隐去市县名称、真实姓名、</w:t>
      </w:r>
      <w:r>
        <w:rPr>
          <w:rFonts w:hint="eastAsia" w:ascii="仿宋" w:hAnsi="仿宋" w:eastAsia="仿宋"/>
        </w:rPr>
        <w:t>单位名号等，以x x代替。</w:t>
      </w:r>
    </w:p>
    <w:p>
      <w:pPr>
        <w:pStyle w:val="8"/>
        <w:ind w:left="664"/>
        <w:rPr>
          <w:rFonts w:hint="eastAsia"/>
        </w:rPr>
        <w:sectPr>
          <w:headerReference r:id="rId5" w:type="default"/>
          <w:footerReference r:id="rId6" w:type="default"/>
          <w:pgSz w:w="11906" w:h="16838"/>
          <w:pgMar w:top="1814" w:right="1474" w:bottom="1701" w:left="1474" w:header="851" w:footer="1417" w:gutter="0"/>
          <w:cols w:space="720" w:num="1"/>
          <w:docGrid w:type="linesAndChars" w:linePitch="639" w:charSpace="2412"/>
        </w:sectPr>
      </w:pPr>
    </w:p>
    <w:p>
      <w:pPr>
        <w:rPr>
          <w:rFonts w:hint="eastAsia" w:ascii="仿宋_GB2312"/>
          <w:color w:val="000000"/>
        </w:rPr>
      </w:pPr>
    </w:p>
    <w:p/>
    <w:sectPr>
      <w:headerReference r:id="rId7" w:type="default"/>
      <w:footerReference r:id="rId8" w:type="default"/>
      <w:footerReference r:id="rId9" w:type="even"/>
      <w:pgSz w:w="16838" w:h="11906" w:orient="landscape"/>
      <w:pgMar w:top="1814" w:right="1474" w:bottom="1701" w:left="1474" w:header="851" w:footer="1417"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sz w:val="24"/>
                            </w:rPr>
                          </w:pPr>
                          <w:r>
                            <w:rPr>
                              <w:rFonts w:hint="eastAsia"/>
                              <w:sz w:val="24"/>
                            </w:rPr>
                            <w:t>—</w:t>
                          </w:r>
                          <w:r>
                            <w:rPr>
                              <w:sz w:val="24"/>
                            </w:rPr>
                            <w:fldChar w:fldCharType="begin"/>
                          </w:r>
                          <w:r>
                            <w:rPr>
                              <w:sz w:val="24"/>
                            </w:rPr>
                            <w:instrText xml:space="preserve"> PAGE  \* MERGEFORMAT </w:instrText>
                          </w:r>
                          <w:r>
                            <w:rPr>
                              <w:sz w:val="24"/>
                            </w:rPr>
                            <w:fldChar w:fldCharType="separate"/>
                          </w:r>
                          <w:r>
                            <w:rPr>
                              <w:sz w:val="24"/>
                            </w:rPr>
                            <w:t>9</w:t>
                          </w:r>
                          <w:r>
                            <w:rPr>
                              <w:sz w:val="24"/>
                            </w:rPr>
                            <w:fldChar w:fldCharType="end"/>
                          </w:r>
                          <w:r>
                            <w:rPr>
                              <w:rFonts w:hint="eastAsia"/>
                              <w:sz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5"/>
                      <w:rPr>
                        <w:rFonts w:hint="eastAsia"/>
                        <w:sz w:val="24"/>
                      </w:rPr>
                    </w:pPr>
                    <w:r>
                      <w:rPr>
                        <w:rFonts w:hint="eastAsia"/>
                        <w:sz w:val="24"/>
                      </w:rPr>
                      <w:t>—</w:t>
                    </w:r>
                    <w:r>
                      <w:rPr>
                        <w:sz w:val="24"/>
                      </w:rPr>
                      <w:fldChar w:fldCharType="begin"/>
                    </w:r>
                    <w:r>
                      <w:rPr>
                        <w:sz w:val="24"/>
                      </w:rPr>
                      <w:instrText xml:space="preserve"> PAGE  \* MERGEFORMAT </w:instrText>
                    </w:r>
                    <w:r>
                      <w:rPr>
                        <w:sz w:val="24"/>
                      </w:rPr>
                      <w:fldChar w:fldCharType="separate"/>
                    </w:r>
                    <w:r>
                      <w:rPr>
                        <w:sz w:val="24"/>
                      </w:rPr>
                      <w:t>9</w:t>
                    </w:r>
                    <w:r>
                      <w:rPr>
                        <w:sz w:val="24"/>
                      </w:rPr>
                      <w:fldChar w:fldCharType="end"/>
                    </w:r>
                    <w:r>
                      <w:rPr>
                        <w:rFonts w:hint="eastAsia"/>
                        <w:sz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sz w:val="24"/>
                            </w:rPr>
                          </w:pPr>
                          <w:r>
                            <w:rPr>
                              <w:rFonts w:hint="eastAsia"/>
                              <w:sz w:val="24"/>
                            </w:rPr>
                            <w:t>—</w:t>
                          </w:r>
                          <w:r>
                            <w:rPr>
                              <w:sz w:val="24"/>
                            </w:rPr>
                            <w:fldChar w:fldCharType="begin"/>
                          </w:r>
                          <w:r>
                            <w:rPr>
                              <w:sz w:val="24"/>
                            </w:rPr>
                            <w:instrText xml:space="preserve"> PAGE  \* MERGEFORMAT </w:instrText>
                          </w:r>
                          <w:r>
                            <w:rPr>
                              <w:sz w:val="24"/>
                            </w:rPr>
                            <w:fldChar w:fldCharType="separate"/>
                          </w:r>
                          <w:r>
                            <w:rPr>
                              <w:sz w:val="24"/>
                            </w:rPr>
                            <w:t>19</w:t>
                          </w:r>
                          <w:r>
                            <w:rPr>
                              <w:sz w:val="24"/>
                            </w:rPr>
                            <w:fldChar w:fldCharType="end"/>
                          </w:r>
                          <w:r>
                            <w:rPr>
                              <w:rFonts w:hint="eastAsia"/>
                              <w:sz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5"/>
                      <w:rPr>
                        <w:rFonts w:hint="eastAsia"/>
                        <w:sz w:val="24"/>
                      </w:rPr>
                    </w:pPr>
                    <w:r>
                      <w:rPr>
                        <w:rFonts w:hint="eastAsia"/>
                        <w:sz w:val="24"/>
                      </w:rPr>
                      <w:t>—</w:t>
                    </w:r>
                    <w:r>
                      <w:rPr>
                        <w:sz w:val="24"/>
                      </w:rPr>
                      <w:fldChar w:fldCharType="begin"/>
                    </w:r>
                    <w:r>
                      <w:rPr>
                        <w:sz w:val="24"/>
                      </w:rPr>
                      <w:instrText xml:space="preserve"> PAGE  \* MERGEFORMAT </w:instrText>
                    </w:r>
                    <w:r>
                      <w:rPr>
                        <w:sz w:val="24"/>
                      </w:rPr>
                      <w:fldChar w:fldCharType="separate"/>
                    </w:r>
                    <w:r>
                      <w:rPr>
                        <w:sz w:val="24"/>
                      </w:rPr>
                      <w:t>19</w:t>
                    </w:r>
                    <w:r>
                      <w:rPr>
                        <w:sz w:val="24"/>
                      </w:rPr>
                      <w:fldChar w:fldCharType="end"/>
                    </w:r>
                    <w:r>
                      <w:rPr>
                        <w:rFonts w:hint="eastAsia"/>
                        <w:sz w:val="24"/>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360"/>
      <w:jc w:val="left"/>
      <w:rPr>
        <w:rFonts w:eastAsia="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sz w:val="24"/>
                              <w:szCs w:val="24"/>
                            </w:rPr>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22</w:t>
                          </w:r>
                          <w:r>
                            <w:rPr>
                              <w:sz w:val="24"/>
                              <w:szCs w:val="24"/>
                            </w:rPr>
                            <w:fldChar w:fldCharType="end"/>
                          </w:r>
                          <w:r>
                            <w:rPr>
                              <w:sz w:val="24"/>
                              <w:szCs w:val="2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pPr>
                      <w:pStyle w:val="5"/>
                      <w:rPr>
                        <w:sz w:val="24"/>
                        <w:szCs w:val="24"/>
                      </w:rPr>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22</w:t>
                    </w:r>
                    <w:r>
                      <w:rPr>
                        <w:sz w:val="24"/>
                        <w:szCs w:val="24"/>
                      </w:rPr>
                      <w:fldChar w:fldCharType="end"/>
                    </w:r>
                    <w:r>
                      <w:rPr>
                        <w:sz w:val="24"/>
                        <w:szCs w:val="24"/>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hint="eastAsia" w:ascii="宋体" w:hAnsi="宋体" w:eastAsia="宋体"/>
        <w:sz w:val="24"/>
        <w:szCs w:val="24"/>
      </w:rPr>
    </w:pPr>
    <w:r>
      <w:rPr>
        <w:rStyle w:val="11"/>
        <w:rFonts w:hint="eastAsia" w:ascii="宋体" w:hAnsi="宋体" w:eastAsia="宋体"/>
        <w:sz w:val="24"/>
        <w:szCs w:val="24"/>
      </w:rPr>
      <w:t xml:space="preserve">— </w:t>
    </w:r>
    <w:r>
      <w:rPr>
        <w:rFonts w:ascii="宋体" w:hAnsi="宋体" w:eastAsia="宋体"/>
        <w:sz w:val="24"/>
        <w:szCs w:val="24"/>
      </w:rPr>
      <w:fldChar w:fldCharType="begin"/>
    </w:r>
    <w:r>
      <w:rPr>
        <w:rStyle w:val="11"/>
        <w:rFonts w:ascii="宋体" w:hAnsi="宋体" w:eastAsia="宋体"/>
        <w:sz w:val="24"/>
        <w:szCs w:val="24"/>
      </w:rPr>
      <w:instrText xml:space="preserve">PAGE  </w:instrText>
    </w:r>
    <w:r>
      <w:rPr>
        <w:rFonts w:ascii="宋体" w:hAnsi="宋体" w:eastAsia="宋体"/>
        <w:sz w:val="24"/>
        <w:szCs w:val="24"/>
      </w:rPr>
      <w:fldChar w:fldCharType="separate"/>
    </w:r>
    <w:r>
      <w:rPr>
        <w:rStyle w:val="11"/>
        <w:rFonts w:ascii="宋体" w:hAnsi="宋体" w:eastAsia="宋体"/>
        <w:sz w:val="24"/>
        <w:szCs w:val="24"/>
      </w:rPr>
      <w:t>23</w:t>
    </w:r>
    <w:r>
      <w:rPr>
        <w:rFonts w:ascii="宋体" w:hAnsi="宋体" w:eastAsia="宋体"/>
        <w:sz w:val="24"/>
        <w:szCs w:val="24"/>
      </w:rPr>
      <w:fldChar w:fldCharType="end"/>
    </w:r>
    <w:r>
      <w:rPr>
        <w:rFonts w:hint="eastAsia" w:ascii="宋体" w:hAnsi="宋体" w:eastAsia="宋体"/>
        <w:sz w:val="24"/>
        <w:szCs w:val="24"/>
      </w:rPr>
      <w:t xml:space="preserve"> </w:t>
    </w:r>
    <w:r>
      <w:rPr>
        <w:rStyle w:val="11"/>
        <w:rFonts w:hint="eastAsia" w:ascii="宋体" w:hAnsi="宋体" w:eastAsia="宋体"/>
        <w:sz w:val="24"/>
        <w:szCs w:val="24"/>
      </w:rPr>
      <w:t>—</w:t>
    </w:r>
  </w:p>
  <w:p>
    <w:pPr>
      <w:pStyle w:val="5"/>
      <w:ind w:right="360"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separate"/>
    </w:r>
    <w:r>
      <w:rPr>
        <w:rStyle w:val="11"/>
      </w:rPr>
      <w:t>1</w: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MjY5ZWIwNmY4MmFmZGU3NjEyYWEzYTk4ZmZkOGMifQ=="/>
  </w:docVars>
  <w:rsids>
    <w:rsidRoot w:val="5A9F1505"/>
    <w:rsid w:val="5A9F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660" w:lineRule="exact"/>
      <w:ind w:firstLine="705"/>
    </w:pPr>
    <w:rPr>
      <w:rFonts w:ascii="仿宋_GB2312" w:eastAsia="仿宋_GB2312"/>
      <w:color w:val="000000"/>
      <w:sz w:val="36"/>
      <w:szCs w:val="36"/>
    </w:rPr>
  </w:style>
  <w:style w:type="paragraph" w:styleId="3">
    <w:name w:val="Normal Indent"/>
    <w:unhideWhenUsed/>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Body Text Indent"/>
    <w:basedOn w:val="1"/>
    <w:uiPriority w:val="0"/>
    <w:pPr>
      <w:spacing w:line="360" w:lineRule="auto"/>
      <w:ind w:firstLine="63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Lines="0" w:beforeAutospacing="1" w:after="100" w:afterLines="0" w:afterAutospacing="1"/>
      <w:jc w:val="left"/>
    </w:pPr>
    <w:rPr>
      <w:rFonts w:ascii="宋体" w:hAnsi="宋体" w:eastAsia="宋体" w:cs="宋体"/>
      <w:kern w:val="0"/>
      <w:sz w:val="24"/>
    </w:rPr>
  </w:style>
  <w:style w:type="paragraph" w:styleId="8">
    <w:name w:val="Body Text First Indent 2"/>
    <w:basedOn w:val="4"/>
    <w:uiPriority w:val="0"/>
    <w:pPr>
      <w:spacing w:after="120" w:line="240" w:lineRule="auto"/>
      <w:ind w:left="420" w:leftChars="200" w:firstLine="420"/>
    </w:pPr>
    <w:rPr>
      <w:rFonts w:ascii="Times New Roman" w:hAnsi="Times New Roman" w:eastAsia="仿宋_GB2312"/>
      <w:kern w:val="0"/>
      <w:sz w:val="20"/>
    </w:rPr>
  </w:style>
  <w:style w:type="character" w:styleId="11">
    <w:name w:val="page number"/>
    <w:basedOn w:val="10"/>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2023-09-28T02:23:00Z</dcterms:created>
  <dc:creator>Administrator</dc:creator>
  <cp:lastModifiedBy>Administrator</cp:lastModifiedBy>
  <dcterms:modified xsi:type="dcterms:W3CDTF">2023-09-28T02:24:00Z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B19F68885D244BAC909716CBF186FEAE_11</vt:lpwstr>
  </property>
</Properties>
</file>