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AB90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eastAsia="方正小标宋简体" w:cs="Times New Roman"/>
          <w:kern w:val="2"/>
          <w:sz w:val="44"/>
          <w:szCs w:val="44"/>
          <w:lang w:val="en-US" w:eastAsia="zh-CN"/>
        </w:rPr>
      </w:pPr>
    </w:p>
    <w:p w14:paraId="1FD7D42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/>
        </w:rPr>
        <w:t>马庙水库灌区年度工作报告</w:t>
      </w:r>
    </w:p>
    <w:p w14:paraId="20C8D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C016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一、概述</w:t>
      </w:r>
    </w:p>
    <w:p w14:paraId="2291E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汝州市马庙水库位于淮河流域沙颍河水系北汝河支流洗耳河上游，是一座以防洪、灌溉为主，兼顾水产养殖和旅游等综合效益的中型水库。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汝州市马庙水库灌区位于汝州市北部的山前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丘陵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区及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马庙水库下游与平原衔接区域，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灌区覆盖范围内的渠道、水闸等建筑物是水库灌区工程的重要组成部分。</w:t>
      </w:r>
    </w:p>
    <w:p w14:paraId="297D9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该灌区于1970年3月建成，设计灌溉面积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万亩，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有效灌溉面积1.29万亩。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设计灌溉保证率为75%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，可以灌溉骑岭、陵头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个乡镇和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紫云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、风穴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办事处的10个行政村耕地。</w:t>
      </w:r>
    </w:p>
    <w:p w14:paraId="54D3D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灌区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农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作物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为小麦、玉米、红薯等。近年来，受市场需求和社会经济变革的影响，果、蔬栽种面积进一步扩大，创收增收的多样性种植品类和种植模式越来越多。</w:t>
      </w:r>
    </w:p>
    <w:p w14:paraId="34FB8A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灌区水资源利用及骨干工程现状</w:t>
      </w:r>
    </w:p>
    <w:p w14:paraId="63BCF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马庙水库是一座中型水库，总库容1705.3万</w:t>
      </w:r>
      <w:r>
        <w:rPr>
          <w:rFonts w:hint="eastAsia" w:eastAsia="仿宋_GB2312" w:cs="仿宋"/>
          <w:sz w:val="32"/>
          <w:szCs w:val="32"/>
        </w:rPr>
        <w:t>m</w:t>
      </w:r>
      <w:r>
        <w:rPr>
          <w:rFonts w:ascii="Calibri" w:hAnsi="Calibri" w:eastAsia="仿宋_GB2312" w:cs="Calibri"/>
          <w:sz w:val="32"/>
          <w:szCs w:val="32"/>
        </w:rPr>
        <w:t>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，兴利库容754.6万</w:t>
      </w:r>
      <w:r>
        <w:rPr>
          <w:rFonts w:hint="eastAsia" w:eastAsia="仿宋_GB2312" w:cs="仿宋"/>
          <w:sz w:val="32"/>
          <w:szCs w:val="32"/>
        </w:rPr>
        <w:t>m</w:t>
      </w:r>
      <w:r>
        <w:rPr>
          <w:rFonts w:ascii="Calibri" w:hAnsi="Calibri" w:eastAsia="仿宋_GB2312" w:cs="Calibri"/>
          <w:sz w:val="32"/>
          <w:szCs w:val="32"/>
        </w:rPr>
        <w:t>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。汝州市马庙水库水源工程于2010年完成除险加固后，年平均蓄滞洪水1070万</w:t>
      </w:r>
      <w:r>
        <w:rPr>
          <w:rFonts w:hint="eastAsia" w:eastAsia="仿宋_GB2312" w:cs="仿宋"/>
          <w:sz w:val="32"/>
          <w:szCs w:val="32"/>
        </w:rPr>
        <w:t>m</w:t>
      </w:r>
      <w:r>
        <w:rPr>
          <w:rFonts w:ascii="Calibri" w:hAnsi="Calibri" w:eastAsia="仿宋_GB2312" w:cs="Calibri"/>
          <w:sz w:val="32"/>
          <w:szCs w:val="32"/>
        </w:rPr>
        <w:t>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，正常蓄水位在325</w:t>
      </w:r>
      <w:r>
        <w:rPr>
          <w:rFonts w:hint="eastAsia" w:eastAsia="仿宋_GB2312" w:cs="仿宋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至328</w:t>
      </w:r>
      <w:r>
        <w:rPr>
          <w:rFonts w:hint="eastAsia" w:eastAsia="仿宋_GB2312" w:cs="仿宋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之间变化，水源充足有保障。灌区现有东、西两条干渠，总长18.5</w:t>
      </w:r>
      <w:r>
        <w:rPr>
          <w:rFonts w:hint="eastAsia" w:eastAsia="仿宋_GB2312" w:cs="仿宋"/>
          <w:sz w:val="32"/>
          <w:szCs w:val="32"/>
          <w:lang w:val="en-US" w:eastAsia="zh-CN"/>
        </w:rPr>
        <w:t>k</w:t>
      </w:r>
      <w:r>
        <w:rPr>
          <w:rFonts w:hint="eastAsia" w:eastAsia="仿宋_GB2312" w:cs="仿宋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。其中衬砌13.74</w:t>
      </w:r>
      <w:r>
        <w:rPr>
          <w:rFonts w:hint="eastAsia" w:eastAsia="仿宋_GB2312" w:cs="仿宋"/>
          <w:sz w:val="32"/>
          <w:szCs w:val="32"/>
          <w:lang w:val="en-US" w:eastAsia="zh-CN"/>
        </w:rPr>
        <w:t>k</w:t>
      </w:r>
      <w:r>
        <w:rPr>
          <w:rFonts w:hint="eastAsia" w:eastAsia="仿宋_GB2312" w:cs="仿宋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，支渠25条，总长56</w:t>
      </w:r>
      <w:r>
        <w:rPr>
          <w:rFonts w:hint="eastAsia" w:eastAsia="仿宋_GB2312" w:cs="仿宋"/>
          <w:sz w:val="32"/>
          <w:szCs w:val="32"/>
          <w:lang w:val="en-US" w:eastAsia="zh-CN"/>
        </w:rPr>
        <w:t>k</w:t>
      </w:r>
      <w:r>
        <w:rPr>
          <w:rFonts w:hint="eastAsia" w:eastAsia="仿宋_GB2312" w:cs="仿宋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，其中衬砌20</w:t>
      </w:r>
      <w:r>
        <w:rPr>
          <w:rFonts w:hint="eastAsia" w:eastAsia="仿宋_GB2312" w:cs="仿宋"/>
          <w:sz w:val="32"/>
          <w:szCs w:val="32"/>
          <w:lang w:val="en-US" w:eastAsia="zh-CN"/>
        </w:rPr>
        <w:t>k</w:t>
      </w:r>
      <w:r>
        <w:rPr>
          <w:rFonts w:hint="eastAsia" w:eastAsia="仿宋_GB2312" w:cs="仿宋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</w:p>
    <w:p w14:paraId="506C3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灌区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覆盖区域主要以农业灌溉、抗旱保收为主，用水性质全部为农业用水。灌渠由于年久失修，主干渠完好率不足30%；以田间支渠为主的水工建筑物损坏特别严重，损坏程度已达到80%以上。干支渠均未做防渗处理，由于缺少专业维护资金和受早些年农民种粮积极性下降影响，灌溉面积不断萎缩，灌渠工程维护难以为继。骨干排水沟长度8</w:t>
      </w:r>
      <w:r>
        <w:rPr>
          <w:rFonts w:hint="eastAsia" w:eastAsia="仿宋_GB2312" w:cs="仿宋"/>
          <w:sz w:val="32"/>
          <w:szCs w:val="32"/>
          <w:lang w:val="en-US" w:eastAsia="zh-CN"/>
        </w:rPr>
        <w:t>k</w:t>
      </w:r>
      <w:r>
        <w:rPr>
          <w:rFonts w:hint="eastAsia" w:eastAsia="仿宋_GB2312" w:cs="仿宋"/>
          <w:sz w:val="32"/>
          <w:szCs w:val="32"/>
        </w:rPr>
        <w:t>m</w:t>
      </w:r>
      <w:r>
        <w:rPr>
          <w:rFonts w:hint="eastAsia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建筑物86座，渠（沟）工程及建筑物完好率不足30%。该区域总人口为3.8万人，土地总面积3.5万亩，总耕地面积为3.1万亩。</w:t>
      </w:r>
    </w:p>
    <w:p w14:paraId="30BA99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工程管理情况</w:t>
      </w:r>
    </w:p>
    <w:p w14:paraId="0FD5F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（一）灌区管理体制与运行机制</w:t>
      </w:r>
    </w:p>
    <w:p w14:paraId="4B49D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汝州市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马庙水库运行中心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属纯公益管理单位。单位定编人数23人，</w:t>
      </w:r>
      <w:r>
        <w:rPr>
          <w:rFonts w:hint="eastAsia" w:ascii="仿宋_GB2312" w:hAnsi="Times New Roman" w:eastAsia="仿宋_GB2312" w:cs="Times New Roman"/>
          <w:sz w:val="32"/>
        </w:rPr>
        <w:t>现有在岗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7人。</w:t>
      </w:r>
    </w:p>
    <w:p w14:paraId="56561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加强灌区的工程管理，提高灌溉效益，缩短灌溉周期，使之更好地为灌区群众服务，马庙水库灌区成立了农民用水者协会，明确了管理职责，制定了“灌溉管理制度”“水费征收制度”“奖惩制度”等多项制度并上墙，实行会长负责制，两个队长主责东西渠并实施日常监管维护，同时与受益村庄书记（或管理员）实施联动互动管理，落实不定期巡逻模式，每个人职责清晰、分工明确，确保了灌区管理工作的正常运行。</w:t>
      </w:r>
    </w:p>
    <w:p w14:paraId="7D678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（二）“两费”落实及使用情况</w:t>
      </w:r>
    </w:p>
    <w:p w14:paraId="20C99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管理人员经费核定61.78万元，经费落实0万元。工程维修养护经费核定168.8万元，年度维养实施及经费支付为0万元。</w:t>
      </w:r>
    </w:p>
    <w:p w14:paraId="59BD1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（三）灌区标准化评价和节水型灌区创建情况</w:t>
      </w:r>
    </w:p>
    <w:p w14:paraId="73880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马庙水库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灌区未开展标准化管理，依然运行的是传统管理模式+村委会联动机制</w:t>
      </w: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</w:t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工作管理方案，与现代化管理模式相差较远，也未开展标准化管理工作。</w:t>
      </w:r>
    </w:p>
    <w:p w14:paraId="78F4B1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用水管理及水价改革情况</w:t>
      </w:r>
    </w:p>
    <w:p w14:paraId="0232B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（一）供用水管理</w:t>
      </w:r>
    </w:p>
    <w:p w14:paraId="2231A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马庙水库灌区农业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年取水许可量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468万</w:t>
      </w:r>
      <w:r>
        <w:rPr>
          <w:rFonts w:hint="eastAsia" w:eastAsia="仿宋_GB2312" w:cs="仿宋"/>
          <w:sz w:val="32"/>
          <w:szCs w:val="32"/>
        </w:rPr>
        <w:t>m</w:t>
      </w:r>
      <w:r>
        <w:rPr>
          <w:rFonts w:ascii="Calibri" w:hAnsi="Calibri" w:eastAsia="仿宋_GB2312" w:cs="Calibri"/>
          <w:sz w:val="32"/>
          <w:szCs w:val="32"/>
        </w:rPr>
        <w:t>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年取水总量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为660万</w:t>
      </w:r>
      <w:r>
        <w:rPr>
          <w:rFonts w:hint="eastAsia" w:eastAsia="仿宋_GB2312" w:cs="仿宋"/>
          <w:sz w:val="32"/>
          <w:szCs w:val="32"/>
        </w:rPr>
        <w:t>m</w:t>
      </w:r>
      <w:r>
        <w:rPr>
          <w:rFonts w:ascii="Calibri" w:hAnsi="Calibri" w:eastAsia="仿宋_GB2312" w:cs="Calibri"/>
          <w:sz w:val="32"/>
          <w:szCs w:val="32"/>
        </w:rPr>
        <w:t>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。多年平均实灌面积9000亩，近年来最大实灌面积4500亩，灌溉水有效利用系数0.38，年引水量500万</w:t>
      </w:r>
      <w:r>
        <w:rPr>
          <w:rFonts w:hint="eastAsia" w:eastAsia="仿宋_GB2312" w:cs="仿宋"/>
          <w:sz w:val="32"/>
          <w:szCs w:val="32"/>
        </w:rPr>
        <w:t>m</w:t>
      </w:r>
      <w:r>
        <w:rPr>
          <w:rFonts w:ascii="Calibri" w:hAnsi="Calibri" w:eastAsia="仿宋_GB2312" w:cs="Calibri"/>
          <w:sz w:val="32"/>
          <w:szCs w:val="32"/>
        </w:rPr>
        <w:t>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灌区范围内高标准农田建设情况为800亩。按照《河南省水利厅农业水价综合改革实施方案》的要求，马庙水库灌区由马庙水库运行中心统筹实施农业节水与供用水管理。用水者协会负责向用水户推广节水管理模式和节水方案实施，协会全方位参与用水管理。在管理过程中，坚持以渠系为节管单元，实施会长负责制，推行用水户提前上报用水计划，经批准后，按时间节点进行供水调水配水，并加强末级渠系输水和退水管理，防止斗农毛（临时开挖）与供水用水不衔接出现时间空档，造成溢水和过度漫灌。水费征收经渠系渠段当地单位核算后，统一由村委会牵头收取水费并上缴协会。</w:t>
      </w:r>
    </w:p>
    <w:p w14:paraId="1A85A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2025年，共灌水4次，放水26天，灌溉（渠灌）6000亩次，放出水量122.85万</w:t>
      </w:r>
      <w:r>
        <w:rPr>
          <w:rFonts w:hint="eastAsia" w:eastAsia="仿宋_GB2312" w:cs="仿宋"/>
          <w:sz w:val="32"/>
          <w:szCs w:val="32"/>
        </w:rPr>
        <w:t>m</w:t>
      </w:r>
      <w:r>
        <w:rPr>
          <w:rFonts w:ascii="Calibri" w:hAnsi="Calibri" w:eastAsia="仿宋_GB2312" w:cs="Calibri"/>
          <w:sz w:val="32"/>
          <w:szCs w:val="32"/>
        </w:rPr>
        <w:t>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。水位徘徊区间为321.22至327.9</w:t>
      </w:r>
      <w:r>
        <w:rPr>
          <w:rFonts w:hint="eastAsia" w:eastAsia="仿宋_GB2312" w:cs="仿宋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，现在水位已恢复到327.56</w:t>
      </w:r>
      <w:r>
        <w:rPr>
          <w:rFonts w:hint="eastAsia" w:eastAsia="仿宋_GB2312" w:cs="仿宋"/>
          <w:sz w:val="32"/>
          <w:szCs w:val="32"/>
        </w:rPr>
        <w:t>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。另外，井灌面积为800亩。</w:t>
      </w:r>
    </w:p>
    <w:p w14:paraId="5409B0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农业水价综合改革</w:t>
      </w:r>
    </w:p>
    <w:p w14:paraId="5CD9D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 w:cs="仿宋"/>
          <w:sz w:val="32"/>
          <w:szCs w:val="32"/>
        </w:rPr>
      </w:pPr>
      <w:r>
        <w:rPr>
          <w:rFonts w:hint="eastAsia" w:eastAsia="仿宋_GB2312" w:cs="仿宋"/>
          <w:sz w:val="32"/>
          <w:szCs w:val="32"/>
        </w:rPr>
        <w:t>为进一步推进农业水价综合改革，汝州市财政、水利、农业农村、物价等部门联合制定印发《汝州市农业水价综合改革奖补办法》，进一步明确了奖补标准，促进农业节约用水，提高水资源利用效率和水费收缴率，降低农业生产成本，保障农田水利工程良性运行。</w:t>
      </w:r>
    </w:p>
    <w:p w14:paraId="040CA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灌区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量测水设施设备等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信息化建设和应用情况</w:t>
      </w:r>
    </w:p>
    <w:p w14:paraId="0479B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马庙水库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灌区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未实施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信息化建设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</w:p>
    <w:p w14:paraId="3B96DD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投资改造情况</w:t>
      </w:r>
    </w:p>
    <w:p w14:paraId="55FAD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2021年，受“7·20”极端天气降水影响，灌区山体滑坡造成渠道淤积损毁、渠堤失稳开裂塌方、土涵洞淤堵冒顶、闸门基座被掏基损毁殆尽，灌溉体系几乎全部瘫痪。灾后，进行了水毁修复，实际完成投资163万元，项目已于2023年9月完成了竣工验收。</w:t>
      </w:r>
    </w:p>
    <w:p w14:paraId="30DED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 w:cs="黑体"/>
          <w:sz w:val="32"/>
          <w:szCs w:val="32"/>
          <w:lang w:eastAsia="zh-CN"/>
        </w:rPr>
      </w:pPr>
      <w:r>
        <w:rPr>
          <w:rFonts w:hint="eastAsia" w:eastAsia="黑体" w:cs="黑体"/>
          <w:bCs/>
          <w:sz w:val="32"/>
          <w:szCs w:val="32"/>
          <w:lang w:val="en-US" w:eastAsia="zh-CN"/>
        </w:rPr>
        <w:t>六</w:t>
      </w:r>
      <w:r>
        <w:rPr>
          <w:rFonts w:hint="eastAsia" w:eastAsia="黑体" w:cs="黑体"/>
          <w:bCs/>
          <w:sz w:val="32"/>
          <w:szCs w:val="32"/>
          <w:lang w:eastAsia="zh-CN"/>
        </w:rPr>
        <w:t>、</w:t>
      </w:r>
      <w:r>
        <w:rPr>
          <w:rFonts w:hint="eastAsia" w:eastAsia="黑体" w:cs="黑体"/>
          <w:sz w:val="32"/>
          <w:szCs w:val="32"/>
          <w:lang w:eastAsia="zh-CN"/>
        </w:rPr>
        <w:t>存在问题及建议</w:t>
      </w:r>
    </w:p>
    <w:p w14:paraId="707B1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灌区自197</w:t>
      </w:r>
      <w:r>
        <w:rPr>
          <w:rFonts w:hint="eastAsia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sz w:val="32"/>
          <w:szCs w:val="32"/>
          <w:lang w:eastAsia="zh-CN"/>
        </w:rPr>
        <w:t>年开灌以来，对汝州市农业生产和经济社会发展发挥了重要作用。但由于工程建设受当时客观因素制约，工程标准低，质量差，工程续建维护滞后，年久失修，干支渠渗漏严重，工程管理设施陈旧，建筑物损坏严重，已残缺不全，无法正常运行。加之，工程灌溉管理手段落后，严重影响了灌区效益的发挥，急需进行现代化提升改造。</w:t>
      </w:r>
    </w:p>
    <w:p w14:paraId="3DD6C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黑体" w:cs="黑体"/>
          <w:bCs/>
          <w:sz w:val="32"/>
          <w:szCs w:val="32"/>
          <w:lang w:eastAsia="zh-CN"/>
        </w:rPr>
      </w:pPr>
      <w:r>
        <w:rPr>
          <w:rFonts w:hint="eastAsia" w:eastAsia="黑体" w:cs="黑体"/>
          <w:bCs/>
          <w:sz w:val="32"/>
          <w:szCs w:val="32"/>
          <w:lang w:val="en-US" w:eastAsia="zh-CN"/>
        </w:rPr>
        <w:t>七</w:t>
      </w:r>
      <w:r>
        <w:rPr>
          <w:rFonts w:hint="eastAsia" w:eastAsia="黑体" w:cs="黑体"/>
          <w:bCs/>
          <w:sz w:val="32"/>
          <w:szCs w:val="32"/>
          <w:lang w:eastAsia="zh-CN"/>
        </w:rPr>
        <w:t>、审计等发现问题及整改</w:t>
      </w:r>
    </w:p>
    <w:p w14:paraId="72960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无。</w:t>
      </w:r>
    </w:p>
    <w:p w14:paraId="4D038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4BE26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463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CA74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A97F0C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A97F0C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529CF6"/>
    <w:multiLevelType w:val="singleLevel"/>
    <w:tmpl w:val="D0529CF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7B6901B"/>
    <w:multiLevelType w:val="singleLevel"/>
    <w:tmpl w:val="D7B6901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ZDE1M2Y1YzQ2ZWMyOTU1MWU4NWUwMGMwNTllY2MifQ=="/>
  </w:docVars>
  <w:rsids>
    <w:rsidRoot w:val="00000000"/>
    <w:rsid w:val="00056E88"/>
    <w:rsid w:val="0081674D"/>
    <w:rsid w:val="01260E98"/>
    <w:rsid w:val="02480329"/>
    <w:rsid w:val="02F170B5"/>
    <w:rsid w:val="02FB2646"/>
    <w:rsid w:val="036D4B44"/>
    <w:rsid w:val="03D40ED9"/>
    <w:rsid w:val="04812FB5"/>
    <w:rsid w:val="05184F9C"/>
    <w:rsid w:val="052D4EEB"/>
    <w:rsid w:val="05AB33F0"/>
    <w:rsid w:val="06422A77"/>
    <w:rsid w:val="087F7BA3"/>
    <w:rsid w:val="0B5E0979"/>
    <w:rsid w:val="0BC83447"/>
    <w:rsid w:val="0BFA2DB1"/>
    <w:rsid w:val="0C50008E"/>
    <w:rsid w:val="0DF8741E"/>
    <w:rsid w:val="0E723CE6"/>
    <w:rsid w:val="0EA620BB"/>
    <w:rsid w:val="0EF73BDE"/>
    <w:rsid w:val="0F123D9F"/>
    <w:rsid w:val="0F30513C"/>
    <w:rsid w:val="10D41EC1"/>
    <w:rsid w:val="11A958FA"/>
    <w:rsid w:val="12AB6515"/>
    <w:rsid w:val="14F15D5B"/>
    <w:rsid w:val="15FF3FEB"/>
    <w:rsid w:val="17883CE1"/>
    <w:rsid w:val="19A35591"/>
    <w:rsid w:val="1B0B0BF4"/>
    <w:rsid w:val="1DEE698D"/>
    <w:rsid w:val="1E3F016E"/>
    <w:rsid w:val="1E624F56"/>
    <w:rsid w:val="1E6A6411"/>
    <w:rsid w:val="1E7A38FD"/>
    <w:rsid w:val="1EDF4D71"/>
    <w:rsid w:val="1F824CE0"/>
    <w:rsid w:val="204A5971"/>
    <w:rsid w:val="20785FB9"/>
    <w:rsid w:val="210E5779"/>
    <w:rsid w:val="2112491B"/>
    <w:rsid w:val="222C37D6"/>
    <w:rsid w:val="2378512C"/>
    <w:rsid w:val="23BE7D3D"/>
    <w:rsid w:val="23D6512A"/>
    <w:rsid w:val="25CA1308"/>
    <w:rsid w:val="27315D1C"/>
    <w:rsid w:val="276A4018"/>
    <w:rsid w:val="27A476C6"/>
    <w:rsid w:val="2800686E"/>
    <w:rsid w:val="2A1F6D8E"/>
    <w:rsid w:val="2A735822"/>
    <w:rsid w:val="2A8B227D"/>
    <w:rsid w:val="2AAF138F"/>
    <w:rsid w:val="2B876854"/>
    <w:rsid w:val="2CC60EDF"/>
    <w:rsid w:val="2D982197"/>
    <w:rsid w:val="2DE721D2"/>
    <w:rsid w:val="2E4713D7"/>
    <w:rsid w:val="300C790E"/>
    <w:rsid w:val="30AA5179"/>
    <w:rsid w:val="30CA1362"/>
    <w:rsid w:val="31476416"/>
    <w:rsid w:val="329362BC"/>
    <w:rsid w:val="32A40461"/>
    <w:rsid w:val="32CF5773"/>
    <w:rsid w:val="32E412C2"/>
    <w:rsid w:val="33D47D4F"/>
    <w:rsid w:val="33DA09AC"/>
    <w:rsid w:val="34210F92"/>
    <w:rsid w:val="342F7A89"/>
    <w:rsid w:val="346B4ED8"/>
    <w:rsid w:val="35011425"/>
    <w:rsid w:val="35017619"/>
    <w:rsid w:val="360E0992"/>
    <w:rsid w:val="39BF365D"/>
    <w:rsid w:val="3A642EC8"/>
    <w:rsid w:val="3A731106"/>
    <w:rsid w:val="3ACA0695"/>
    <w:rsid w:val="3B5A6010"/>
    <w:rsid w:val="3CA1484D"/>
    <w:rsid w:val="3CEA2FA1"/>
    <w:rsid w:val="3D344362"/>
    <w:rsid w:val="3D503856"/>
    <w:rsid w:val="3D94095C"/>
    <w:rsid w:val="3E1D4DF6"/>
    <w:rsid w:val="3EBA478B"/>
    <w:rsid w:val="3EC81413"/>
    <w:rsid w:val="3FCE45FA"/>
    <w:rsid w:val="407C5E04"/>
    <w:rsid w:val="412D5350"/>
    <w:rsid w:val="415400E6"/>
    <w:rsid w:val="419B1495"/>
    <w:rsid w:val="41BD4192"/>
    <w:rsid w:val="41C168A3"/>
    <w:rsid w:val="427F1D59"/>
    <w:rsid w:val="42EB7271"/>
    <w:rsid w:val="43065C37"/>
    <w:rsid w:val="43244531"/>
    <w:rsid w:val="436D2A63"/>
    <w:rsid w:val="43811983"/>
    <w:rsid w:val="43DF5027"/>
    <w:rsid w:val="43EA492C"/>
    <w:rsid w:val="43F46376"/>
    <w:rsid w:val="442944F4"/>
    <w:rsid w:val="4440349D"/>
    <w:rsid w:val="44CE7028"/>
    <w:rsid w:val="44D4611E"/>
    <w:rsid w:val="45E01703"/>
    <w:rsid w:val="466979D6"/>
    <w:rsid w:val="47D31FCF"/>
    <w:rsid w:val="48891E46"/>
    <w:rsid w:val="49054B7B"/>
    <w:rsid w:val="49077940"/>
    <w:rsid w:val="491F29B0"/>
    <w:rsid w:val="494A7465"/>
    <w:rsid w:val="4A991C71"/>
    <w:rsid w:val="4B530AE6"/>
    <w:rsid w:val="4B9C296D"/>
    <w:rsid w:val="4D9C7830"/>
    <w:rsid w:val="4E050B65"/>
    <w:rsid w:val="4E6323B1"/>
    <w:rsid w:val="4E6E7962"/>
    <w:rsid w:val="4E9B1B4B"/>
    <w:rsid w:val="4F22042B"/>
    <w:rsid w:val="4F235132"/>
    <w:rsid w:val="4F656D94"/>
    <w:rsid w:val="50504E07"/>
    <w:rsid w:val="505C0BC3"/>
    <w:rsid w:val="50A24666"/>
    <w:rsid w:val="50A53155"/>
    <w:rsid w:val="520C2FF1"/>
    <w:rsid w:val="535A7899"/>
    <w:rsid w:val="53C143F3"/>
    <w:rsid w:val="54272ED0"/>
    <w:rsid w:val="543A0058"/>
    <w:rsid w:val="544A1E34"/>
    <w:rsid w:val="544B4206"/>
    <w:rsid w:val="554353F9"/>
    <w:rsid w:val="555B1F0D"/>
    <w:rsid w:val="55DF2C65"/>
    <w:rsid w:val="5695689F"/>
    <w:rsid w:val="574B3B4F"/>
    <w:rsid w:val="57743881"/>
    <w:rsid w:val="580033E8"/>
    <w:rsid w:val="589D7ADE"/>
    <w:rsid w:val="58F53219"/>
    <w:rsid w:val="597638E0"/>
    <w:rsid w:val="5B213293"/>
    <w:rsid w:val="5B784EF3"/>
    <w:rsid w:val="5D261179"/>
    <w:rsid w:val="5D75587B"/>
    <w:rsid w:val="5F904A0A"/>
    <w:rsid w:val="5FAD7930"/>
    <w:rsid w:val="60874774"/>
    <w:rsid w:val="61631BF7"/>
    <w:rsid w:val="61962B41"/>
    <w:rsid w:val="621A39E0"/>
    <w:rsid w:val="63635486"/>
    <w:rsid w:val="651A6FFA"/>
    <w:rsid w:val="65A33192"/>
    <w:rsid w:val="665B05A3"/>
    <w:rsid w:val="68063442"/>
    <w:rsid w:val="68432D10"/>
    <w:rsid w:val="68546382"/>
    <w:rsid w:val="68B12F50"/>
    <w:rsid w:val="68EB01B3"/>
    <w:rsid w:val="6AF941BA"/>
    <w:rsid w:val="6B317667"/>
    <w:rsid w:val="6BB67B6C"/>
    <w:rsid w:val="6BBA26E8"/>
    <w:rsid w:val="6BE40765"/>
    <w:rsid w:val="6C4C227F"/>
    <w:rsid w:val="6CCC7928"/>
    <w:rsid w:val="6CCE7137"/>
    <w:rsid w:val="6F885CC3"/>
    <w:rsid w:val="70F64AD0"/>
    <w:rsid w:val="71A6000A"/>
    <w:rsid w:val="71DF186F"/>
    <w:rsid w:val="722241AD"/>
    <w:rsid w:val="72575D91"/>
    <w:rsid w:val="73024AE7"/>
    <w:rsid w:val="730A3BF2"/>
    <w:rsid w:val="73C123F0"/>
    <w:rsid w:val="74354DE7"/>
    <w:rsid w:val="747A065C"/>
    <w:rsid w:val="74CE23CA"/>
    <w:rsid w:val="755D54FC"/>
    <w:rsid w:val="760140DA"/>
    <w:rsid w:val="775D17E4"/>
    <w:rsid w:val="77D53072"/>
    <w:rsid w:val="7821016F"/>
    <w:rsid w:val="787F4A97"/>
    <w:rsid w:val="790E4FB8"/>
    <w:rsid w:val="7C75312C"/>
    <w:rsid w:val="7C8021FC"/>
    <w:rsid w:val="7CD662C0"/>
    <w:rsid w:val="7F0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</w:pPr>
    <w:rPr>
      <w:rFonts w:ascii="Times New Roman" w:hAnsi="Times New Roman" w:eastAsia="仿宋" w:cstheme="minorBidi"/>
      <w:sz w:val="28"/>
      <w:szCs w:val="22"/>
      <w:lang w:val="en-US" w:eastAsia="en-US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 2"/>
    <w:basedOn w:val="1"/>
    <w:unhideWhenUsed/>
    <w:qFormat/>
    <w:uiPriority w:val="99"/>
    <w:pPr>
      <w:ind w:firstLine="570"/>
    </w:pPr>
    <w:rPr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99073bfb-2de3-4eb1-a8fa-5fafca216dae</errorID>
      <errorWord>建筑物、构筑物</errorWord>
      <group>L1_AI</group>
      <groupName>深度校对</groupName>
      <ability>L2_AI_Grammar</ability>
      <abilityName>语法纠错</abilityName>
      <candidateList>
        <item>建筑物</item>
      </candidateList>
      <explain/>
      <paraID>2291E605</paraID>
      <start>112</start>
      <end>115</end>
      <status>modified</status>
      <modifiedWord>建筑物</modifiedWord>
      <trackRevisions>false</trackRevisions>
    </reviewItem>
    <reviewItem>
      <errorID>5a51352e-fa6f-499b-9b23-c1795fe02960</errorID>
      <errorWord>多样性创收增收</errorWord>
      <group>L1_AI</group>
      <groupName>深度校对</groupName>
      <ability>L2_AI_Word</ability>
      <abilityName>字词纠错</abilityName>
      <candidateList>
        <item>创收增收的多样性</item>
      </candidateList>
      <explain/>
      <paraID>54D3D90E</paraID>
      <start>51</start>
      <end>59</end>
      <status>modified</status>
      <modifiedWord>创收增收的多样性</modifiedWord>
      <trackRevisions>false</trackRevisions>
    </reviewItem>
    <reviewItem>
      <errorID>1a56d0ba-4c2f-4a9f-9ff6-b2de4c7e232d</errorID>
      <errorWord>多、越来越广</errorWord>
      <group>L1_AI</group>
      <groupName>深度校对</groupName>
      <ability>L2_AI_Grammar</ability>
      <abilityName>语法纠错</abilityName>
      <candidateList>
        <item>多</item>
      </candidateList>
      <explain/>
      <paraID>54D3D90E</paraID>
      <start>71</start>
      <end>72</end>
      <status>modified</status>
      <modifiedWord>多</modifiedWord>
      <trackRevisions>false</trackRevisions>
    </reviewItem>
    <reviewItem>
      <errorID>9cda031f-3264-483c-9d6c-89149c099089</errorID>
      <errorWord>的</errorWord>
      <group>L1_AI</group>
      <groupName>深度校对</groupName>
      <ability>L2_AI_Grammar</ability>
      <abilityName>语法纠错</abilityName>
      <candidateList>
        <item>相结合的</item>
      </candidateList>
      <explain/>
      <paraID>7388016B</paraID>
      <start>35</start>
      <end>36</end>
      <status>unmodified</status>
      <modifiedWord/>
      <trackRevisions>false</trackRevisions>
    </reviewItem>
    <reviewItem>
      <errorID>b435a88a-d6a7-4f45-94fc-62c8c1d22b7f</errorID>
      <errorWord>也未</errorWord>
      <group>L1_AI</group>
      <groupName>深度校对</groupName>
      <ability>L2_AI_Word</ability>
      <abilityName>字词纠错</abilityName>
      <candidateList>
        <item>尚未</item>
      </candidateList>
      <explain/>
      <paraID>7388016B</paraID>
      <start>56</start>
      <end>58</end>
      <status>unmodified</status>
      <modifiedWord/>
      <trackRevisions>false</trackRevisions>
    </reviewItem>
    <reviewItem>
      <errorID>d7296ae0-95bf-435c-9f6c-c8fe9dde12ea</errorID>
      <errorWord>方案实施</errorWord>
      <group>L1_AI</group>
      <groupName>深度校对</groupName>
      <ability>L2_AI_Grammar</ability>
      <abilityName>语法纠错</abilityName>
      <candidateList>
        <item>方案</item>
      </candidateList>
      <explain/>
      <paraID>2231A595</paraID>
      <start>186</start>
      <end>190</end>
      <status>unmodified</status>
      <modifiedWord/>
      <trackRevisions>false</trackRevisions>
    </reviewItem>
    <reviewItem>
      <errorID>bfdf5542-4fe0-410b-ac0f-7139eb25cc64</errorID>
      <errorWord>，</errorWord>
      <group>L1_AI</group>
      <groupName>深度校对</groupName>
      <ability>L2_AI_Grammar</ability>
      <abilityName>语法纠错</abilityName>
      <candidateList>
        <item>造成，</item>
      </candidateList>
      <explain/>
      <paraID>2231A595</paraID>
      <start>302</start>
      <end>303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976d4b-7285-47c7-ae94-2f3508fbab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2792</Words>
  <Characters>3044</Characters>
  <Lines>0</Lines>
  <Paragraphs>0</Paragraphs>
  <TotalTime>5</TotalTime>
  <ScaleCrop>false</ScaleCrop>
  <LinksUpToDate>false</LinksUpToDate>
  <CharactersWithSpaces>3044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2020-10-09T00:46:00Z</dcterms:created>
  <dc:creator>LENOVO</dc:creator>
  <cp:lastModifiedBy>笑倚春风不自知</cp:lastModifiedBy>
  <cp:lastPrinted>2024-04-29T00:31:00Z</cp:lastPrinted>
  <dcterms:modified xsi:type="dcterms:W3CDTF">2025-12-30T02:55:51Z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36FFBA05C9E042E3AF592F8FFDF1CC1E</vt:lpwstr>
  </property>
  <property fmtid="{D5CDD505-2E9C-101B-9397-08002B2CF9AE}" pid="4" name="KSOTemplateDocerSaveRecord">
    <vt:lpwstr>eyJoZGlkIjoiODc0ODNiY2U2NWJlMjc5NzE0NGRhYzg5M2Q0Njc4MWQiLCJ1c2VySWQiOiIyMzI4Njg0MjcifQ==</vt:lpwstr>
  </property>
</Properties>
</file>