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9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汝州市202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年事业单位高层次人才引进岗位表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/>
          <w:color w:val="auto"/>
        </w:rPr>
      </w:pPr>
    </w:p>
    <w:tbl>
      <w:tblPr>
        <w:tblStyle w:val="5"/>
        <w:tblW w:w="893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36"/>
        <w:gridCol w:w="1813"/>
        <w:gridCol w:w="3237"/>
        <w:gridCol w:w="88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岗位名称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及代码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所需专业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shd w:val="clear" w:color="auto" w:fill="FFFFFF"/>
              </w:rPr>
              <w:t>引进数量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全供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财政学类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金融学类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计算机类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电子信息类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电子商务类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经济学类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07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工商管理类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公共管理类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08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法学类、社会学类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哲学类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09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植物生产类、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建筑类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旅游管理类、心理学类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新闻传播学类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管理岗位1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设计学类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气象类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</w:rPr>
              <w:t>岗位1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化工与制药类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合计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0FD41295"/>
    <w:rsid w:val="0FD41295"/>
    <w:rsid w:val="4F3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 w:afterLines="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2023-11-03T03:10:00Z</dcterms:created>
  <dc:creator>琳</dc:creator>
  <cp:lastModifiedBy>琳</cp:lastModifiedBy>
  <dcterms:modified xsi:type="dcterms:W3CDTF">2023-11-03T03:11:55Z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4705FB8CEFCD45FEB52F39888A67C245_13</vt:lpwstr>
  </property>
</Properties>
</file>