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汝州市政府常务会听取法治政府建设情况汇报及安排工作情况说明</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汝州市政府高度重视法治政府建设工作，汝州市法治政府建设领导小组办公室积极主动汇报法治政府建设工作中出现的问题，争取市政府主要领导支持，市政府常务会每年至少听取2次法治政府建设工作汇报，并进行工作安排。（市政府常务会</w:t>
      </w:r>
      <w:bookmarkStart w:id="0" w:name="_GoBack"/>
      <w:bookmarkEnd w:id="0"/>
      <w:r>
        <w:rPr>
          <w:rFonts w:hint="eastAsia" w:ascii="仿宋" w:hAnsi="仿宋" w:eastAsia="仿宋" w:cs="仿宋"/>
          <w:sz w:val="32"/>
          <w:szCs w:val="32"/>
          <w:lang w:val="en-US" w:eastAsia="zh-CN"/>
        </w:rPr>
        <w:t>截图附后）</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法治政府建设成效显著，汝州市2021-2022均被平顶山市法治政府建设领导小组办公室评为法治政府建设优秀等次。（平顶山市法治政府建设领导小组办公室出具情况说明附后）</w:t>
      </w: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zk2M2M1MDE1M2Y0ZWM1YTY1MDk2NTM4ZWM5OWUifQ=="/>
  </w:docVars>
  <w:rsids>
    <w:rsidRoot w:val="00000000"/>
    <w:rsid w:val="35A0637D"/>
    <w:rsid w:val="5D2D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2023-11-26T02:28:00Z</cp:lastPrinted>
  <dcterms:modified xsi:type="dcterms:W3CDTF">2023-11-28T00:45:24Z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1F3049C7B85F49CB8C66A38CCCA64200_12</vt:lpwstr>
  </property>
</Properties>
</file>