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B115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lang w:val="en-US" w:eastAsia="zh-CN"/>
        </w:rPr>
        <w:t>汝州市民政局 汝州市财政局</w:t>
      </w:r>
    </w:p>
    <w:p w14:paraId="56A7616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lang w:val="en-US" w:eastAsia="zh-CN"/>
        </w:rPr>
        <w:t>关于实施</w:t>
      </w:r>
      <w:r>
        <w:rPr>
          <w:rFonts w:hint="default" w:ascii="Times New Roman" w:hAnsi="Times New Roman" w:eastAsia="方正小标宋简体" w:cs="Times New Roman"/>
          <w:b w:val="0"/>
          <w:bCs/>
        </w:rPr>
        <w:t>节地生态安葬奖补</w:t>
      </w:r>
      <w:r>
        <w:rPr>
          <w:rFonts w:hint="eastAsia" w:ascii="Times New Roman" w:hAnsi="Times New Roman" w:eastAsia="方正小标宋简体" w:cs="Times New Roman"/>
          <w:b w:val="0"/>
          <w:bCs/>
          <w:lang w:val="en-US" w:eastAsia="zh-CN"/>
        </w:rPr>
        <w:t>政策的通知</w:t>
      </w:r>
    </w:p>
    <w:p w14:paraId="0C4C4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A18F5FF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各乡镇人民政府，市政府各部门，各街道办事处，有关单位：</w:t>
      </w:r>
    </w:p>
    <w:p w14:paraId="6464F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为加快推进移风易俗殡葬改革，推行绿色殡葬，节约土地资源，根据民政部等9部委《关于推行节地生态安葬的指导意见》（民发〔2016〕21号）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</w:rPr>
        <w:t>中共平顶山市委办公室 平顶山市人民政府办公室关于印发&lt;平顶山市推进移风易俗倡树文明殡葬新风实施方案&gt;的通知》（平办〔2020〕5号）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和《平顶山市民政局 平顶山市财政局&lt;关于实施节地生态安葬奖补政策&gt;的通知</w:t>
      </w:r>
      <w:bookmarkStart w:id="0" w:name="OLE_LINK1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》（平民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〔202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11号）</w:t>
      </w:r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等文件精神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，现就节地生态安葬奖补机制的有关事宜通知如下：</w:t>
      </w:r>
    </w:p>
    <w:p w14:paraId="2BA87BFF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一、基本方式和条件</w:t>
      </w:r>
    </w:p>
    <w:p w14:paraId="4137F475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节地生态安葬方式包括树葬、花坛葬、草坪葬、壁葬、海葬以及骨灰存放等，其安葬应符合下列条件：</w:t>
      </w:r>
    </w:p>
    <w:p w14:paraId="32E40139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（一）树葬、花坛葬、草坪葬、壁葬由在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本市</w:t>
      </w:r>
      <w:r>
        <w:rPr>
          <w:rFonts w:hint="eastAsia" w:ascii="仿宋" w:hAnsi="仿宋" w:eastAsia="仿宋" w:cs="仿宋"/>
          <w:sz w:val="32"/>
          <w:szCs w:val="32"/>
        </w:rPr>
        <w:t>经批准设立的公墓提供。</w:t>
      </w:r>
    </w:p>
    <w:p w14:paraId="561FBAF9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（二）骨灰寄存在本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经批准设立的骨灰堂、楼（含批准设立的殡仪馆、公墓内建立的骨灰堂、楼）10年以上（含10年），并签订存放协议。</w:t>
      </w:r>
    </w:p>
    <w:p w14:paraId="0E4180EE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统一组织的海葬。</w:t>
      </w:r>
    </w:p>
    <w:p w14:paraId="44D05F68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000000"/>
          <w:sz w:val="32"/>
          <w:szCs w:val="32"/>
        </w:rPr>
        <w:t>二、奖补对象及标准</w:t>
      </w:r>
    </w:p>
    <w:p w14:paraId="263C030B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在民政部门核定的公墓和骨灰堂、楼，采取树葬、花坛葬、草坪葬、壁葬和骨灰存放的方式，符合下列条件之一的，每具骨灰补助丧属1000元：</w:t>
      </w:r>
    </w:p>
    <w:p w14:paraId="1806D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安葬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的骨灰生前户籍为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汝州市的</w:t>
      </w:r>
      <w:r>
        <w:rPr>
          <w:rFonts w:hint="eastAsia" w:ascii="仿宋" w:hAnsi="仿宋" w:eastAsia="仿宋" w:cs="仿宋"/>
          <w:sz w:val="32"/>
          <w:szCs w:val="32"/>
        </w:rPr>
        <w:t>城乡居民。</w:t>
      </w:r>
    </w:p>
    <w:p w14:paraId="5DE1A2E0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安葬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的骨灰生前为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驻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汝</w:t>
      </w:r>
      <w:r>
        <w:rPr>
          <w:rFonts w:hint="eastAsia" w:ascii="仿宋" w:hAnsi="仿宋" w:eastAsia="仿宋" w:cs="仿宋"/>
          <w:sz w:val="32"/>
          <w:szCs w:val="32"/>
        </w:rPr>
        <w:t>部队现役军人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汝州市各大中专院校全日制非汝州市户籍学生。</w:t>
      </w:r>
    </w:p>
    <w:p w14:paraId="74DEA992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安葬（放）的骨灰生前为与在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汝</w:t>
      </w:r>
      <w:r>
        <w:rPr>
          <w:rFonts w:hint="eastAsia" w:ascii="仿宋" w:hAnsi="仿宋" w:eastAsia="仿宋" w:cs="仿宋"/>
          <w:sz w:val="32"/>
          <w:szCs w:val="32"/>
        </w:rPr>
        <w:t>企业签订劳动合同并按规定缴纳养老保险金1年以上、在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汝州市</w:t>
      </w:r>
      <w:r>
        <w:rPr>
          <w:rFonts w:hint="eastAsia" w:ascii="仿宋" w:hAnsi="仿宋" w:eastAsia="仿宋" w:cs="仿宋"/>
          <w:sz w:val="32"/>
          <w:szCs w:val="32"/>
        </w:rPr>
        <w:t>居住的外来务工人员。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2E55C152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三、办理程序</w:t>
      </w:r>
    </w:p>
    <w:p w14:paraId="7AB88CCD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领取树葬、花坛葬、草坪葬、壁葬、海葬和骨灰存放补贴的的个人，向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汝州市</w:t>
      </w:r>
      <w:r>
        <w:rPr>
          <w:rFonts w:hint="eastAsia" w:ascii="仿宋" w:hAnsi="仿宋" w:eastAsia="仿宋" w:cs="仿宋"/>
          <w:sz w:val="32"/>
          <w:szCs w:val="32"/>
        </w:rPr>
        <w:t>殡葬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管理所（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汝州市殡仪馆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提出申请，填写《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汝州市</w:t>
      </w:r>
      <w:r>
        <w:rPr>
          <w:rFonts w:hint="eastAsia" w:ascii="仿宋" w:hAnsi="仿宋" w:eastAsia="仿宋" w:cs="仿宋"/>
          <w:sz w:val="32"/>
          <w:szCs w:val="32"/>
        </w:rPr>
        <w:t>节地生态安葬奖补申请表》，并提供以下证明材料：</w:t>
      </w:r>
    </w:p>
    <w:p w14:paraId="5C853802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（一）逝者身份证、户口本、火化证明；</w:t>
      </w:r>
    </w:p>
    <w:p w14:paraId="0627B12C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汝州市</w:t>
      </w:r>
      <w:r>
        <w:rPr>
          <w:rFonts w:hint="eastAsia" w:ascii="仿宋" w:hAnsi="仿宋" w:eastAsia="仿宋" w:cs="仿宋"/>
          <w:sz w:val="32"/>
          <w:szCs w:val="32"/>
        </w:rPr>
        <w:t>户籍的学生还应提供学校证明和学生证（原件和复印件)，驻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汝</w:t>
      </w:r>
      <w:r>
        <w:rPr>
          <w:rFonts w:hint="eastAsia" w:ascii="仿宋" w:hAnsi="仿宋" w:eastAsia="仿宋" w:cs="仿宋"/>
          <w:sz w:val="32"/>
          <w:szCs w:val="32"/>
        </w:rPr>
        <w:t>现役军人还应提供团以上政治机关出具的证明及军官证或学员证、士兵证（原件和复印件），在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汝州市</w:t>
      </w:r>
      <w:r>
        <w:rPr>
          <w:rFonts w:hint="eastAsia" w:ascii="仿宋" w:hAnsi="仿宋" w:eastAsia="仿宋" w:cs="仿宋"/>
          <w:sz w:val="32"/>
          <w:szCs w:val="32"/>
        </w:rPr>
        <w:t>居住的外来打工人员还应提供与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在汝</w:t>
      </w:r>
      <w:r>
        <w:rPr>
          <w:rFonts w:hint="eastAsia" w:ascii="仿宋" w:hAnsi="仿宋" w:eastAsia="仿宋" w:cs="仿宋"/>
          <w:sz w:val="32"/>
          <w:szCs w:val="32"/>
        </w:rPr>
        <w:t>企业签订的劳动合同及按规定缴纳养老保险金1年以上的缴费清单（原件和复印件）。</w:t>
      </w:r>
    </w:p>
    <w:p w14:paraId="28C1BE19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（二）安葬（放）合同（协议书）；</w:t>
      </w:r>
    </w:p>
    <w:p w14:paraId="233041E4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（三）逝者直系亲属经办人身份证、银行账号。</w:t>
      </w:r>
    </w:p>
    <w:p w14:paraId="436086C9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直系亲属一般是指逝者父母、配偶、子女、祖父母、外祖父母。经办人不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止</w:t>
      </w:r>
      <w:r>
        <w:rPr>
          <w:rFonts w:hint="eastAsia" w:ascii="仿宋" w:hAnsi="仿宋" w:eastAsia="仿宋" w:cs="仿宋"/>
          <w:sz w:val="32"/>
          <w:szCs w:val="32"/>
        </w:rPr>
        <w:t>一人的，应共同书面签字同意推举一人为补贴资金受领人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经办人不是直系亲属或者逝者没有直系亲属的，应由逝者所在单位或所在村（居）委员会书面明确补贴资金受领人。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6E0BE2A2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经审核同意后，补贴资金汇入经办人账户。转换成其他节地生态安葬方式或变更安葬（放）地点的，不再重复发放补贴资金。</w:t>
      </w:r>
    </w:p>
    <w:p w14:paraId="047D675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textAlignment w:val="auto"/>
        <w:rPr>
          <w:rStyle w:val="8"/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Style w:val="8"/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四、</w:t>
      </w:r>
      <w:r>
        <w:rPr>
          <w:rStyle w:val="8"/>
          <w:rFonts w:hint="eastAsia" w:ascii="黑体" w:hAnsi="黑体" w:eastAsia="黑体" w:cs="黑体"/>
          <w:color w:val="000000"/>
          <w:sz w:val="32"/>
          <w:szCs w:val="32"/>
          <w:highlight w:val="none"/>
        </w:rPr>
        <w:t>经费来源</w:t>
      </w:r>
    </w:p>
    <w:p w14:paraId="5798D2C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Style w:val="8"/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各乡镇（街道）实行统一标准，所需经费由市财政负担</w:t>
      </w:r>
      <w:r>
        <w:rPr>
          <w:rStyle w:val="8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3E79732B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</w:t>
      </w:r>
      <w:r>
        <w:rPr>
          <w:rStyle w:val="8"/>
          <w:rFonts w:hint="eastAsia" w:ascii="黑体" w:hAnsi="黑体" w:eastAsia="黑体" w:cs="黑体"/>
          <w:color w:val="000000"/>
          <w:sz w:val="32"/>
          <w:szCs w:val="32"/>
        </w:rPr>
        <w:t>、相关要求</w:t>
      </w:r>
    </w:p>
    <w:p w14:paraId="5F34F51C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（一）高度重视，加强节地生态安葬的组织领导。</w:t>
      </w:r>
      <w:r>
        <w:rPr>
          <w:rFonts w:hint="eastAsia" w:ascii="仿宋" w:hAnsi="仿宋" w:eastAsia="仿宋" w:cs="仿宋"/>
          <w:sz w:val="32"/>
          <w:szCs w:val="32"/>
        </w:rPr>
        <w:t>加大对节地生态安葬的宣传，引导社会公众自愿接受现代、文明的节地生态安葬理念。以开展节地生态安葬活动为载体，加大节地生态安葬公共服务供给，提高节地生态安葬服务水平。经营性公墓要在未开发建设、未销售的区域内至少划出30%的墓位用于公益事业。</w:t>
      </w:r>
    </w:p>
    <w:p w14:paraId="762D8430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（二）严格标准，确保节地生态安葬奖补政策落实。</w:t>
      </w:r>
      <w:r>
        <w:rPr>
          <w:rFonts w:hint="eastAsia" w:ascii="仿宋" w:hAnsi="仿宋" w:eastAsia="仿宋" w:cs="仿宋"/>
          <w:sz w:val="32"/>
          <w:szCs w:val="32"/>
        </w:rPr>
        <w:t>民政部门要指导各公墓和骨灰堂、楼规范节地生态安葬办理流程，建立完善档案资料。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汝州市殡葬管理所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殡仪馆）</w:t>
      </w:r>
      <w:r>
        <w:rPr>
          <w:rFonts w:hint="eastAsia" w:ascii="仿宋" w:hAnsi="仿宋" w:eastAsia="仿宋" w:cs="仿宋"/>
          <w:sz w:val="32"/>
          <w:szCs w:val="32"/>
        </w:rPr>
        <w:t>要严格审核节地生态安葬补贴申请手续，建立资金发放和档案管理制度，及时将补贴资金打入认定的经办人账户。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民政局和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财政局建立联合督查制度，定期监督节地生态安葬补贴资金发放和档案管理情况，及时发现和纠正问题。对虚报冒领补贴的，应当责令个人退还相应费用，并依法追究相关人员的责任。</w:t>
      </w:r>
    </w:p>
    <w:p w14:paraId="358E3367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（三）本通知自发布之日起实施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 w14:paraId="42118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0474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D5E8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汝州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市节地生态安葬补贴申请表》</w:t>
      </w:r>
    </w:p>
    <w:p w14:paraId="60B01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5242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D0C7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汝州市民政局                  汝州市财政局</w:t>
      </w:r>
    </w:p>
    <w:p w14:paraId="262A0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7D288A6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440" w:firstLineChars="1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2025年5月14日</w:t>
      </w:r>
    </w:p>
    <w:p w14:paraId="68268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F5F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960B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E547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2BE83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5FF2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06FED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4ACEB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6C0DC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3851B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07B2D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3D075D9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4"/>
          <w:lang w:val="en-US" w:eastAsia="zh-CN"/>
        </w:rPr>
        <w:t>汝州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4"/>
        </w:rPr>
        <w:t>市节地生态安葬奖补申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4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4"/>
        </w:rPr>
        <w:t>表</w:t>
      </w:r>
    </w:p>
    <w:p w14:paraId="216984DB"/>
    <w:tbl>
      <w:tblPr>
        <w:tblStyle w:val="6"/>
        <w:tblW w:w="980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605"/>
        <w:gridCol w:w="1617"/>
        <w:gridCol w:w="1278"/>
        <w:gridCol w:w="1100"/>
        <w:gridCol w:w="1110"/>
        <w:gridCol w:w="1798"/>
      </w:tblGrid>
      <w:tr w14:paraId="071D60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298" w:type="dxa"/>
            <w:vMerge w:val="restart"/>
            <w:vAlign w:val="center"/>
          </w:tcPr>
          <w:p w14:paraId="64A2DF21">
            <w:pPr>
              <w:pStyle w:val="9"/>
              <w:spacing w:before="24" w:line="333" w:lineRule="auto"/>
              <w:ind w:right="65"/>
              <w:jc w:val="center"/>
              <w:rPr>
                <w:sz w:val="21"/>
                <w:szCs w:val="21"/>
              </w:rPr>
            </w:pPr>
            <w:r>
              <w:rPr>
                <w:spacing w:val="-4"/>
                <w:w w:val="105"/>
                <w:sz w:val="21"/>
                <w:szCs w:val="21"/>
              </w:rPr>
              <w:t>申请人基本信</w:t>
            </w:r>
            <w:r>
              <w:rPr>
                <w:spacing w:val="-10"/>
                <w:w w:val="105"/>
                <w:sz w:val="21"/>
                <w:szCs w:val="21"/>
              </w:rPr>
              <w:t>息</w:t>
            </w:r>
          </w:p>
        </w:tc>
        <w:tc>
          <w:tcPr>
            <w:tcW w:w="1605" w:type="dxa"/>
            <w:vAlign w:val="center"/>
          </w:tcPr>
          <w:p w14:paraId="13C3BD8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姓名</w:t>
            </w:r>
          </w:p>
        </w:tc>
        <w:tc>
          <w:tcPr>
            <w:tcW w:w="1617" w:type="dxa"/>
            <w:vAlign w:val="center"/>
          </w:tcPr>
          <w:p w14:paraId="7DA10EF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0D2D748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4"/>
                <w:w w:val="105"/>
                <w:sz w:val="21"/>
                <w:szCs w:val="21"/>
              </w:rPr>
              <w:t>与逝者关</w:t>
            </w:r>
            <w:r>
              <w:rPr>
                <w:spacing w:val="-10"/>
                <w:w w:val="105"/>
                <w:sz w:val="21"/>
                <w:szCs w:val="21"/>
              </w:rPr>
              <w:t>系</w:t>
            </w:r>
          </w:p>
        </w:tc>
        <w:tc>
          <w:tcPr>
            <w:tcW w:w="1100" w:type="dxa"/>
            <w:vAlign w:val="center"/>
          </w:tcPr>
          <w:p w14:paraId="4921EC7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444121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联系电话</w:t>
            </w:r>
          </w:p>
        </w:tc>
        <w:tc>
          <w:tcPr>
            <w:tcW w:w="1798" w:type="dxa"/>
            <w:vAlign w:val="center"/>
          </w:tcPr>
          <w:p w14:paraId="2B248AD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</w:tr>
      <w:tr w14:paraId="4F43F8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298" w:type="dxa"/>
            <w:vMerge w:val="continue"/>
            <w:vAlign w:val="center"/>
          </w:tcPr>
          <w:p w14:paraId="30AFC444">
            <w:pPr>
              <w:pStyle w:val="9"/>
              <w:spacing w:before="24" w:line="333" w:lineRule="auto"/>
              <w:ind w:left="164" w:right="65"/>
              <w:jc w:val="center"/>
              <w:rPr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618DBA5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4"/>
                <w:w w:val="105"/>
                <w:sz w:val="21"/>
                <w:szCs w:val="21"/>
              </w:rPr>
              <w:t>身份证号</w:t>
            </w:r>
            <w:r>
              <w:rPr>
                <w:spacing w:val="-10"/>
                <w:w w:val="105"/>
                <w:sz w:val="21"/>
                <w:szCs w:val="21"/>
              </w:rPr>
              <w:t>码</w:t>
            </w:r>
          </w:p>
        </w:tc>
        <w:tc>
          <w:tcPr>
            <w:tcW w:w="2895" w:type="dxa"/>
            <w:gridSpan w:val="2"/>
            <w:vAlign w:val="center"/>
          </w:tcPr>
          <w:p w14:paraId="287FB5C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3437CAA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银行账号</w:t>
            </w:r>
          </w:p>
        </w:tc>
        <w:tc>
          <w:tcPr>
            <w:tcW w:w="2908" w:type="dxa"/>
            <w:gridSpan w:val="2"/>
            <w:vAlign w:val="center"/>
          </w:tcPr>
          <w:p w14:paraId="0159966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</w:tr>
      <w:tr w14:paraId="3FAAF7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44" w:hRule="atLeast"/>
          <w:jc w:val="center"/>
        </w:trPr>
        <w:tc>
          <w:tcPr>
            <w:tcW w:w="1298" w:type="dxa"/>
            <w:vMerge w:val="continue"/>
            <w:vAlign w:val="center"/>
          </w:tcPr>
          <w:p w14:paraId="57FC01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5675429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  <w:p w14:paraId="54FE1DE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常住地址</w:t>
            </w:r>
          </w:p>
        </w:tc>
        <w:tc>
          <w:tcPr>
            <w:tcW w:w="6903" w:type="dxa"/>
            <w:gridSpan w:val="5"/>
            <w:vAlign w:val="center"/>
          </w:tcPr>
          <w:p w14:paraId="7D2EBA2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</w:tr>
      <w:tr w14:paraId="4BFD3E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68" w:hRule="atLeast"/>
          <w:jc w:val="center"/>
        </w:trPr>
        <w:tc>
          <w:tcPr>
            <w:tcW w:w="1298" w:type="dxa"/>
            <w:vMerge w:val="restart"/>
            <w:vAlign w:val="center"/>
          </w:tcPr>
          <w:p w14:paraId="1D77A5BC">
            <w:pPr>
              <w:pStyle w:val="9"/>
              <w:spacing w:line="333" w:lineRule="auto"/>
              <w:ind w:right="161"/>
              <w:jc w:val="center"/>
              <w:rPr>
                <w:spacing w:val="-4"/>
                <w:w w:val="105"/>
                <w:sz w:val="21"/>
                <w:szCs w:val="21"/>
              </w:rPr>
            </w:pPr>
            <w:r>
              <w:rPr>
                <w:rFonts w:hint="eastAsia"/>
                <w:spacing w:val="-4"/>
                <w:w w:val="10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pacing w:val="-4"/>
                <w:w w:val="105"/>
                <w:sz w:val="21"/>
                <w:szCs w:val="21"/>
              </w:rPr>
              <w:t>逝者基本</w:t>
            </w:r>
          </w:p>
          <w:p w14:paraId="256401BB">
            <w:pPr>
              <w:pStyle w:val="9"/>
              <w:spacing w:line="333" w:lineRule="auto"/>
              <w:ind w:right="16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4"/>
                <w:w w:val="10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pacing w:val="-4"/>
                <w:w w:val="105"/>
                <w:sz w:val="21"/>
                <w:szCs w:val="21"/>
              </w:rPr>
              <w:t>信</w:t>
            </w:r>
            <w:r>
              <w:rPr>
                <w:spacing w:val="-10"/>
                <w:w w:val="105"/>
                <w:sz w:val="21"/>
                <w:szCs w:val="21"/>
              </w:rPr>
              <w:t>息</w:t>
            </w:r>
          </w:p>
        </w:tc>
        <w:tc>
          <w:tcPr>
            <w:tcW w:w="1605" w:type="dxa"/>
            <w:vAlign w:val="center"/>
          </w:tcPr>
          <w:p w14:paraId="4BEEEDC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姓名</w:t>
            </w:r>
          </w:p>
        </w:tc>
        <w:tc>
          <w:tcPr>
            <w:tcW w:w="1617" w:type="dxa"/>
            <w:vAlign w:val="center"/>
          </w:tcPr>
          <w:p w14:paraId="13040DA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3D1F803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4"/>
                <w:w w:val="105"/>
                <w:sz w:val="21"/>
                <w:szCs w:val="21"/>
              </w:rPr>
              <w:t>火化日</w:t>
            </w:r>
            <w:r>
              <w:rPr>
                <w:spacing w:val="-10"/>
                <w:w w:val="105"/>
                <w:sz w:val="21"/>
                <w:szCs w:val="21"/>
              </w:rPr>
              <w:t>期</w:t>
            </w:r>
          </w:p>
        </w:tc>
        <w:tc>
          <w:tcPr>
            <w:tcW w:w="1100" w:type="dxa"/>
            <w:vAlign w:val="center"/>
          </w:tcPr>
          <w:p w14:paraId="3AB2767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0495008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4"/>
                <w:w w:val="105"/>
                <w:sz w:val="21"/>
                <w:szCs w:val="21"/>
              </w:rPr>
              <w:t>户籍所在</w:t>
            </w:r>
            <w:r>
              <w:rPr>
                <w:spacing w:val="-10"/>
                <w:w w:val="105"/>
                <w:sz w:val="21"/>
                <w:szCs w:val="21"/>
              </w:rPr>
              <w:t>地</w:t>
            </w:r>
          </w:p>
        </w:tc>
        <w:tc>
          <w:tcPr>
            <w:tcW w:w="1798" w:type="dxa"/>
            <w:vAlign w:val="center"/>
          </w:tcPr>
          <w:p w14:paraId="6CDE39D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</w:tr>
      <w:tr w14:paraId="6D8BC0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11" w:hRule="atLeast"/>
          <w:jc w:val="center"/>
        </w:trPr>
        <w:tc>
          <w:tcPr>
            <w:tcW w:w="1298" w:type="dxa"/>
            <w:vMerge w:val="continue"/>
            <w:tcBorders>
              <w:top w:val="nil"/>
            </w:tcBorders>
            <w:vAlign w:val="center"/>
          </w:tcPr>
          <w:p w14:paraId="4A5C23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F621F8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4"/>
                <w:w w:val="105"/>
                <w:sz w:val="21"/>
                <w:szCs w:val="21"/>
              </w:rPr>
              <w:t>身份证号</w:t>
            </w:r>
            <w:r>
              <w:rPr>
                <w:spacing w:val="-10"/>
                <w:w w:val="105"/>
                <w:sz w:val="21"/>
                <w:szCs w:val="21"/>
              </w:rPr>
              <w:t>码</w:t>
            </w:r>
          </w:p>
        </w:tc>
        <w:tc>
          <w:tcPr>
            <w:tcW w:w="2895" w:type="dxa"/>
            <w:gridSpan w:val="2"/>
            <w:vAlign w:val="center"/>
          </w:tcPr>
          <w:p w14:paraId="6D60DF3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498178A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pacing w:val="-4"/>
                <w:w w:val="10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pacing w:val="-4"/>
                <w:w w:val="105"/>
                <w:sz w:val="21"/>
                <w:szCs w:val="21"/>
              </w:rPr>
              <w:t>安葬（放）</w:t>
            </w:r>
            <w:r>
              <w:rPr>
                <w:spacing w:val="-6"/>
                <w:w w:val="105"/>
                <w:sz w:val="21"/>
                <w:szCs w:val="21"/>
              </w:rPr>
              <w:t>地</w:t>
            </w:r>
            <w:r>
              <w:rPr>
                <w:rFonts w:hint="eastAsia"/>
                <w:spacing w:val="-6"/>
                <w:w w:val="10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pacing w:val="-6"/>
                <w:w w:val="105"/>
                <w:sz w:val="21"/>
                <w:szCs w:val="21"/>
              </w:rPr>
              <w:t>点</w:t>
            </w:r>
          </w:p>
        </w:tc>
        <w:tc>
          <w:tcPr>
            <w:tcW w:w="2908" w:type="dxa"/>
            <w:gridSpan w:val="2"/>
            <w:vAlign w:val="center"/>
          </w:tcPr>
          <w:p w14:paraId="1C0DD70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</w:tr>
      <w:tr w14:paraId="733542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75" w:hRule="atLeast"/>
          <w:jc w:val="center"/>
        </w:trPr>
        <w:tc>
          <w:tcPr>
            <w:tcW w:w="9806" w:type="dxa"/>
            <w:gridSpan w:val="7"/>
          </w:tcPr>
          <w:p w14:paraId="1ED6EEBC">
            <w:pPr>
              <w:pStyle w:val="9"/>
              <w:rPr>
                <w:sz w:val="21"/>
                <w:szCs w:val="21"/>
              </w:rPr>
            </w:pPr>
          </w:p>
          <w:p w14:paraId="3FA2D0E6">
            <w:pPr>
              <w:pStyle w:val="9"/>
              <w:spacing w:line="446" w:lineRule="auto"/>
              <w:ind w:right="207" w:firstLine="436" w:firstLineChars="200"/>
              <w:rPr>
                <w:sz w:val="21"/>
                <w:szCs w:val="21"/>
              </w:rPr>
            </w:pPr>
            <w:r>
              <w:rPr>
                <w:w w:val="104"/>
                <w:sz w:val="21"/>
                <w:szCs w:val="21"/>
              </w:rPr>
              <w:t>逝者生前意愿将骨灰进行节地生态安葬处理，经有继承权的家属共同商议，一致同意将逝者骨灰采用</w:t>
            </w:r>
            <w:r>
              <w:rPr>
                <w:rFonts w:ascii="Times New Roman" w:eastAsia="Times New Roman"/>
                <w:w w:val="104"/>
                <w:sz w:val="21"/>
                <w:szCs w:val="21"/>
              </w:rPr>
              <w:t>(</w:t>
            </w:r>
            <w:r>
              <w:rPr>
                <w:rFonts w:hint="eastAsia" w:ascii="Times New Roman"/>
                <w:w w:val="104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ascii="Times New Roman" w:eastAsia="Times New Roman"/>
                <w:w w:val="104"/>
                <w:sz w:val="21"/>
                <w:szCs w:val="21"/>
              </w:rPr>
              <w:t>)</w:t>
            </w:r>
            <w:r>
              <w:rPr>
                <w:spacing w:val="-17"/>
                <w:w w:val="104"/>
                <w:sz w:val="21"/>
                <w:szCs w:val="21"/>
              </w:rPr>
              <w:t>节</w:t>
            </w:r>
            <w:r>
              <w:rPr>
                <w:w w:val="104"/>
                <w:sz w:val="21"/>
                <w:szCs w:val="21"/>
              </w:rPr>
              <w:t>地生态葬方式下葬。（树葬、花坛葬、草坪葬、壁葬、海葬、生态葬及骨灰寄存</w:t>
            </w:r>
            <w:r>
              <w:rPr>
                <w:rFonts w:hint="eastAsia"/>
                <w:w w:val="104"/>
                <w:sz w:val="21"/>
                <w:szCs w:val="21"/>
                <w:lang w:eastAsia="zh-CN"/>
              </w:rPr>
              <w:t>）</w:t>
            </w:r>
            <w:r>
              <w:rPr>
                <w:w w:val="104"/>
                <w:sz w:val="21"/>
                <w:szCs w:val="21"/>
              </w:rPr>
              <w:t>以上内容如有不实，本人愿承担一切责任。</w:t>
            </w:r>
          </w:p>
          <w:p w14:paraId="723483ED">
            <w:pPr>
              <w:pStyle w:val="9"/>
              <w:spacing w:line="166" w:lineRule="exact"/>
              <w:ind w:left="3961"/>
              <w:rPr>
                <w:spacing w:val="-2"/>
                <w:sz w:val="21"/>
                <w:szCs w:val="21"/>
              </w:rPr>
            </w:pPr>
          </w:p>
          <w:p w14:paraId="349CF2E2">
            <w:pPr>
              <w:pStyle w:val="9"/>
              <w:spacing w:before="143"/>
              <w:ind w:left="4029"/>
              <w:jc w:val="center"/>
              <w:rPr>
                <w:rFonts w:hint="eastAsia"/>
                <w:spacing w:val="-2"/>
                <w:sz w:val="21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 xml:space="preserve">          代表人签字：</w:t>
            </w:r>
          </w:p>
          <w:p w14:paraId="2022EF46">
            <w:pPr>
              <w:pStyle w:val="9"/>
              <w:spacing w:before="143"/>
              <w:ind w:firstLine="6868" w:firstLineChars="3400"/>
              <w:jc w:val="both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年</w:t>
            </w: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pacing w:val="-4"/>
                <w:sz w:val="21"/>
                <w:szCs w:val="21"/>
              </w:rPr>
              <w:t>月</w:t>
            </w: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pacing w:val="-4"/>
                <w:sz w:val="21"/>
                <w:szCs w:val="21"/>
              </w:rPr>
              <w:t>日</w:t>
            </w:r>
          </w:p>
        </w:tc>
      </w:tr>
      <w:tr w14:paraId="10D539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2903" w:type="dxa"/>
            <w:gridSpan w:val="2"/>
          </w:tcPr>
          <w:p w14:paraId="3CD10F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1"/>
                <w:szCs w:val="21"/>
              </w:rPr>
            </w:pPr>
          </w:p>
          <w:p w14:paraId="7E8862F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骨灰安葬（放）</w:t>
            </w:r>
            <w:r>
              <w:rPr>
                <w:spacing w:val="-5"/>
                <w:sz w:val="21"/>
                <w:szCs w:val="21"/>
              </w:rPr>
              <w:t>时间</w:t>
            </w:r>
          </w:p>
        </w:tc>
        <w:tc>
          <w:tcPr>
            <w:tcW w:w="2895" w:type="dxa"/>
            <w:gridSpan w:val="2"/>
          </w:tcPr>
          <w:p w14:paraId="2A334021">
            <w:pPr>
              <w:pStyle w:val="9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00" w:type="dxa"/>
          </w:tcPr>
          <w:p w14:paraId="3BF0BC6A">
            <w:pPr>
              <w:pStyle w:val="9"/>
              <w:spacing w:before="6"/>
              <w:rPr>
                <w:sz w:val="21"/>
                <w:szCs w:val="21"/>
              </w:rPr>
            </w:pPr>
          </w:p>
          <w:p w14:paraId="399DCE8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奖补金额</w:t>
            </w:r>
          </w:p>
        </w:tc>
        <w:tc>
          <w:tcPr>
            <w:tcW w:w="2908" w:type="dxa"/>
            <w:gridSpan w:val="2"/>
          </w:tcPr>
          <w:p w14:paraId="4B38C551">
            <w:pPr>
              <w:pStyle w:val="9"/>
              <w:rPr>
                <w:rFonts w:ascii="Times New Roman"/>
                <w:sz w:val="21"/>
                <w:szCs w:val="21"/>
              </w:rPr>
            </w:pPr>
          </w:p>
        </w:tc>
      </w:tr>
      <w:tr w14:paraId="3DBE98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298" w:type="dxa"/>
          </w:tcPr>
          <w:p w14:paraId="5754185A">
            <w:pPr>
              <w:pStyle w:val="9"/>
              <w:rPr>
                <w:sz w:val="21"/>
                <w:szCs w:val="21"/>
              </w:rPr>
            </w:pPr>
          </w:p>
          <w:p w14:paraId="33F64594">
            <w:pPr>
              <w:pStyle w:val="9"/>
              <w:spacing w:before="7"/>
              <w:rPr>
                <w:sz w:val="21"/>
                <w:szCs w:val="21"/>
              </w:rPr>
            </w:pPr>
          </w:p>
          <w:p w14:paraId="03465F8D">
            <w:pPr>
              <w:pStyle w:val="9"/>
              <w:spacing w:line="333" w:lineRule="auto"/>
              <w:ind w:left="202" w:right="161"/>
              <w:jc w:val="center"/>
              <w:rPr>
                <w:sz w:val="21"/>
                <w:szCs w:val="21"/>
              </w:rPr>
            </w:pPr>
            <w:r>
              <w:rPr>
                <w:spacing w:val="-4"/>
                <w:w w:val="105"/>
                <w:sz w:val="21"/>
                <w:szCs w:val="21"/>
              </w:rPr>
              <w:t>审核部门意</w:t>
            </w:r>
            <w:r>
              <w:rPr>
                <w:spacing w:val="-10"/>
                <w:w w:val="105"/>
                <w:sz w:val="21"/>
                <w:szCs w:val="21"/>
              </w:rPr>
              <w:t>见</w:t>
            </w:r>
          </w:p>
        </w:tc>
        <w:tc>
          <w:tcPr>
            <w:tcW w:w="8508" w:type="dxa"/>
            <w:gridSpan w:val="6"/>
          </w:tcPr>
          <w:p w14:paraId="413714E2">
            <w:pPr>
              <w:pStyle w:val="9"/>
              <w:rPr>
                <w:sz w:val="21"/>
                <w:szCs w:val="21"/>
              </w:rPr>
            </w:pPr>
          </w:p>
          <w:p w14:paraId="04BF812E">
            <w:pPr>
              <w:pStyle w:val="9"/>
              <w:spacing w:before="109"/>
              <w:ind w:right="125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 w14:paraId="2E45C158">
            <w:pPr>
              <w:pStyle w:val="9"/>
              <w:spacing w:before="109"/>
              <w:ind w:right="125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 w14:paraId="7C5DBD92">
            <w:pPr>
              <w:pStyle w:val="9"/>
              <w:spacing w:before="109"/>
              <w:ind w:right="1250"/>
              <w:jc w:val="right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0ED37CFE">
            <w:pPr>
              <w:pStyle w:val="9"/>
              <w:spacing w:before="66"/>
              <w:ind w:right="127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年</w:t>
            </w: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pacing w:val="-4"/>
                <w:sz w:val="21"/>
                <w:szCs w:val="21"/>
              </w:rPr>
              <w:t>月</w:t>
            </w: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pacing w:val="-4"/>
                <w:sz w:val="21"/>
                <w:szCs w:val="21"/>
              </w:rPr>
              <w:t>日</w:t>
            </w:r>
          </w:p>
        </w:tc>
      </w:tr>
      <w:tr w14:paraId="096601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  <w:jc w:val="center"/>
        </w:trPr>
        <w:tc>
          <w:tcPr>
            <w:tcW w:w="9806" w:type="dxa"/>
            <w:gridSpan w:val="7"/>
          </w:tcPr>
          <w:p w14:paraId="6BEA5D5F">
            <w:pPr>
              <w:pStyle w:val="9"/>
              <w:spacing w:before="121" w:line="362" w:lineRule="auto"/>
              <w:ind w:left="67" w:right="230"/>
              <w:rPr>
                <w:sz w:val="21"/>
                <w:szCs w:val="21"/>
              </w:rPr>
            </w:pPr>
            <w:r>
              <w:rPr>
                <w:w w:val="104"/>
                <w:sz w:val="21"/>
                <w:szCs w:val="21"/>
              </w:rPr>
              <w:t>注：</w:t>
            </w:r>
            <w:r>
              <w:rPr>
                <w:rFonts w:ascii="Times New Roman" w:eastAsia="Times New Roman"/>
                <w:w w:val="104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/>
                <w:w w:val="104"/>
                <w:sz w:val="21"/>
                <w:szCs w:val="21"/>
                <w:highlight w:val="none"/>
                <w:lang w:val="en-US" w:eastAsia="zh-CN"/>
              </w:rPr>
              <w:t xml:space="preserve">. </w:t>
            </w:r>
            <w:r>
              <w:rPr>
                <w:spacing w:val="-1"/>
                <w:w w:val="104"/>
                <w:sz w:val="21"/>
                <w:szCs w:val="21"/>
                <w:highlight w:val="none"/>
              </w:rPr>
              <w:t>填表申请时</w:t>
            </w:r>
            <w:r>
              <w:rPr>
                <w:spacing w:val="-1"/>
                <w:w w:val="104"/>
                <w:sz w:val="21"/>
                <w:szCs w:val="21"/>
              </w:rPr>
              <w:t>，需提供逝者身份证、遗体火化证明、法定继承人的户口本或户籍证明、身份证、继承</w:t>
            </w:r>
            <w:r>
              <w:rPr>
                <w:w w:val="104"/>
                <w:sz w:val="21"/>
                <w:szCs w:val="21"/>
              </w:rPr>
              <w:t>人与死者的法定关系证明、经法定继承人签字（盖章）的骨灰处理说明、代表人委托书、指定银行账号。</w:t>
            </w:r>
          </w:p>
          <w:p w14:paraId="7BAD11EB">
            <w:pPr>
              <w:pStyle w:val="9"/>
              <w:numPr>
                <w:ilvl w:val="0"/>
                <w:numId w:val="1"/>
              </w:numPr>
              <w:ind w:left="6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本表一式三份，市民政局、市财政局、申请人各一份。</w:t>
            </w:r>
          </w:p>
        </w:tc>
      </w:tr>
    </w:tbl>
    <w:p w14:paraId="06931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675F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42ABB"/>
    <w:multiLevelType w:val="singleLevel"/>
    <w:tmpl w:val="2CA42AB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7E44"/>
    <w:rsid w:val="033C0E47"/>
    <w:rsid w:val="03BB7FBE"/>
    <w:rsid w:val="063937BB"/>
    <w:rsid w:val="0AE16A2B"/>
    <w:rsid w:val="0B3D2093"/>
    <w:rsid w:val="0CF66F38"/>
    <w:rsid w:val="18F055F8"/>
    <w:rsid w:val="1CA4563B"/>
    <w:rsid w:val="23656985"/>
    <w:rsid w:val="24AA57B9"/>
    <w:rsid w:val="29420139"/>
    <w:rsid w:val="2C0C61A1"/>
    <w:rsid w:val="2DBD47AF"/>
    <w:rsid w:val="39BA17E0"/>
    <w:rsid w:val="39BD44DE"/>
    <w:rsid w:val="3A345DF9"/>
    <w:rsid w:val="46BD55DA"/>
    <w:rsid w:val="4BBC79FC"/>
    <w:rsid w:val="4E097B96"/>
    <w:rsid w:val="4E24030B"/>
    <w:rsid w:val="4EEE4370"/>
    <w:rsid w:val="522C7172"/>
    <w:rsid w:val="53D61C02"/>
    <w:rsid w:val="64EF6306"/>
    <w:rsid w:val="751710BD"/>
    <w:rsid w:val="7DCA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1817</Words>
  <Characters>1840</Characters>
  <Lines>0</Lines>
  <Paragraphs>0</Paragraphs>
  <TotalTime>11</TotalTime>
  <ScaleCrop>false</ScaleCrop>
  <LinksUpToDate>false</LinksUpToDate>
  <CharactersWithSpaces>1901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2025-06-10T07:06:00Z</dcterms:created>
  <dc:creator>Administrator</dc:creator>
  <cp:lastModifiedBy>Administrator</cp:lastModifiedBy>
  <cp:lastPrinted>2025-06-10T08:17:00Z</cp:lastPrinted>
  <dcterms:modified xsi:type="dcterms:W3CDTF">2025-06-11T04:01:11Z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eyJoZGlkIjoiNWQ4OTljNjg5ZjM2Y2M1Yjc5ZGI2MWRjZDQxNmUwYmMifQ==</vt:lpwstr>
  </property>
  <property fmtid="{D5CDD505-2E9C-101B-9397-08002B2CF9AE}" pid="4" name="ICV">
    <vt:lpwstr>B923243371D547E18F75701818909EC3_12</vt:lpwstr>
  </property>
</Properties>
</file>